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C4F09" w14:textId="1E92EDA5" w:rsidR="00B16C11" w:rsidRDefault="00B16C11" w:rsidP="00ED2A6E">
      <w:pPr>
        <w:jc w:val="center"/>
        <w:rPr>
          <w:rFonts w:asciiTheme="majorHAnsi" w:hAnsiTheme="majorHAnsi" w:cstheme="majorHAnsi"/>
          <w:b/>
          <w:sz w:val="28"/>
        </w:rPr>
      </w:pPr>
      <w:r>
        <w:rPr>
          <w:rFonts w:asciiTheme="majorHAnsi" w:hAnsiTheme="majorHAnsi" w:cstheme="majorHAnsi"/>
          <w:b/>
          <w:sz w:val="28"/>
        </w:rPr>
        <w:t>FROM DELAWARE TO TEXAS TO CALIFORNIA</w:t>
      </w:r>
    </w:p>
    <w:p w14:paraId="05B3A2AB" w14:textId="2BED8490" w:rsidR="00B16C11" w:rsidRDefault="00B16C11" w:rsidP="00ED2A6E">
      <w:pPr>
        <w:jc w:val="center"/>
        <w:rPr>
          <w:rFonts w:asciiTheme="majorHAnsi" w:hAnsiTheme="majorHAnsi" w:cstheme="majorHAnsi"/>
          <w:b/>
          <w:sz w:val="28"/>
        </w:rPr>
      </w:pPr>
      <w:r>
        <w:rPr>
          <w:rFonts w:asciiTheme="majorHAnsi" w:hAnsiTheme="majorHAnsi" w:cstheme="majorHAnsi"/>
          <w:b/>
          <w:sz w:val="28"/>
        </w:rPr>
        <w:t>OCTOBER 28, 2022</w:t>
      </w:r>
    </w:p>
    <w:p w14:paraId="507FC5D4" w14:textId="64D0A023" w:rsidR="00367417" w:rsidRPr="00CB4DFE" w:rsidRDefault="00367417" w:rsidP="00ED2A6E">
      <w:pPr>
        <w:jc w:val="center"/>
        <w:rPr>
          <w:rFonts w:asciiTheme="majorHAnsi" w:hAnsiTheme="majorHAnsi" w:cstheme="majorHAnsi"/>
          <w:b/>
          <w:sz w:val="28"/>
        </w:rPr>
      </w:pPr>
      <w:r w:rsidRPr="00CB4DFE">
        <w:rPr>
          <w:rFonts w:asciiTheme="majorHAnsi" w:hAnsiTheme="majorHAnsi" w:cstheme="majorHAnsi"/>
          <w:b/>
          <w:sz w:val="28"/>
        </w:rPr>
        <w:t xml:space="preserve">BENCH BAR PANEL </w:t>
      </w:r>
    </w:p>
    <w:p w14:paraId="78A57872" w14:textId="0D19DAB1" w:rsidR="001706D8" w:rsidRPr="00CB4DFE" w:rsidRDefault="00367417" w:rsidP="001706D8">
      <w:pPr>
        <w:jc w:val="center"/>
        <w:rPr>
          <w:rFonts w:asciiTheme="majorHAnsi" w:hAnsiTheme="majorHAnsi" w:cstheme="majorHAnsi"/>
          <w:b/>
          <w:sz w:val="28"/>
        </w:rPr>
      </w:pPr>
      <w:r w:rsidRPr="00CB4DFE">
        <w:rPr>
          <w:rFonts w:asciiTheme="majorHAnsi" w:hAnsiTheme="majorHAnsi" w:cstheme="majorHAnsi"/>
          <w:b/>
          <w:sz w:val="28"/>
        </w:rPr>
        <w:t>POSSIBLE DISCUSSION TOPICS</w:t>
      </w:r>
      <w:r w:rsidR="0078149B" w:rsidRPr="00CB4DFE">
        <w:rPr>
          <w:rFonts w:asciiTheme="majorHAnsi" w:hAnsiTheme="majorHAnsi" w:cstheme="majorHAnsi"/>
          <w:b/>
          <w:sz w:val="28"/>
        </w:rPr>
        <w:t xml:space="preserve"> </w:t>
      </w:r>
    </w:p>
    <w:p w14:paraId="6B8D6451" w14:textId="02C41F1B" w:rsidR="004B1654" w:rsidRDefault="004B1654" w:rsidP="004B1654">
      <w:pPr>
        <w:rPr>
          <w:rFonts w:asciiTheme="majorHAnsi" w:hAnsiTheme="majorHAnsi" w:cstheme="majorHAnsi"/>
          <w:b/>
          <w:u w:val="single"/>
        </w:rPr>
      </w:pPr>
      <w:bookmarkStart w:id="0" w:name="_GoBack"/>
      <w:bookmarkEnd w:id="0"/>
    </w:p>
    <w:p w14:paraId="38E9F53F" w14:textId="4D5A92E5" w:rsidR="004B1654" w:rsidRPr="004B1654" w:rsidRDefault="004B1654" w:rsidP="004B1654">
      <w:pPr>
        <w:rPr>
          <w:rFonts w:asciiTheme="majorHAnsi" w:hAnsiTheme="majorHAnsi" w:cstheme="majorHAnsi"/>
          <w:b/>
        </w:rPr>
      </w:pPr>
      <w:r w:rsidRPr="004B1654">
        <w:rPr>
          <w:rFonts w:asciiTheme="majorHAnsi" w:hAnsiTheme="majorHAnsi" w:cstheme="majorHAnsi"/>
          <w:b/>
        </w:rPr>
        <w:t xml:space="preserve">I. SHORTLISTED TOPICS </w:t>
      </w:r>
    </w:p>
    <w:p w14:paraId="413209C0" w14:textId="51490990" w:rsidR="004B1654" w:rsidRDefault="004B1654" w:rsidP="004B1654">
      <w:pPr>
        <w:rPr>
          <w:rFonts w:asciiTheme="majorHAnsi" w:hAnsiTheme="majorHAnsi" w:cstheme="majorHAnsi"/>
          <w:b/>
          <w:u w:val="single"/>
        </w:rPr>
      </w:pPr>
    </w:p>
    <w:p w14:paraId="7076A65C" w14:textId="77777777" w:rsidR="00BF5531" w:rsidRPr="00CB4DFE" w:rsidRDefault="00BF5531" w:rsidP="00BF5531">
      <w:pPr>
        <w:pStyle w:val="ListParagraph"/>
        <w:numPr>
          <w:ilvl w:val="0"/>
          <w:numId w:val="40"/>
        </w:numPr>
        <w:spacing w:after="240"/>
        <w:contextualSpacing w:val="0"/>
        <w:rPr>
          <w:rFonts w:asciiTheme="majorHAnsi" w:hAnsiTheme="majorHAnsi" w:cstheme="majorHAnsi"/>
          <w:b/>
        </w:rPr>
      </w:pPr>
      <w:r>
        <w:rPr>
          <w:rFonts w:asciiTheme="majorHAnsi" w:hAnsiTheme="majorHAnsi" w:cstheme="majorHAnsi"/>
          <w:b/>
        </w:rPr>
        <w:t>Trial Management Protocols</w:t>
      </w:r>
    </w:p>
    <w:p w14:paraId="12D919BA" w14:textId="4345B1E7" w:rsidR="00BF5531" w:rsidRDefault="00BF5531" w:rsidP="00BF5531">
      <w:pPr>
        <w:pStyle w:val="ListParagraph"/>
        <w:numPr>
          <w:ilvl w:val="1"/>
          <w:numId w:val="40"/>
        </w:numPr>
        <w:spacing w:after="240"/>
        <w:contextualSpacing w:val="0"/>
        <w:rPr>
          <w:rFonts w:asciiTheme="majorHAnsi" w:hAnsiTheme="majorHAnsi" w:cstheme="majorHAnsi"/>
        </w:rPr>
      </w:pPr>
      <w:r w:rsidRPr="00570907">
        <w:rPr>
          <w:rFonts w:asciiTheme="majorHAnsi" w:hAnsiTheme="majorHAnsi" w:cstheme="majorHAnsi"/>
          <w:i/>
          <w:u w:val="single"/>
        </w:rPr>
        <w:t>Setting Timeline for Trial</w:t>
      </w:r>
      <w:r w:rsidRPr="00CB4DFE">
        <w:rPr>
          <w:rFonts w:asciiTheme="majorHAnsi" w:hAnsiTheme="majorHAnsi" w:cstheme="majorHAnsi"/>
        </w:rPr>
        <w:t xml:space="preserve">:  </w:t>
      </w:r>
      <w:r w:rsidR="00F13BDD">
        <w:rPr>
          <w:rFonts w:asciiTheme="majorHAnsi" w:hAnsiTheme="majorHAnsi" w:cstheme="majorHAnsi"/>
        </w:rPr>
        <w:t>(</w:t>
      </w:r>
      <w:r w:rsidR="00A264C2">
        <w:rPr>
          <w:rFonts w:asciiTheme="majorHAnsi" w:hAnsiTheme="majorHAnsi" w:cstheme="majorHAnsi"/>
        </w:rPr>
        <w:t>Kevin Collins</w:t>
      </w:r>
      <w:r w:rsidR="00F13BDD">
        <w:rPr>
          <w:rFonts w:asciiTheme="majorHAnsi" w:hAnsiTheme="majorHAnsi" w:cstheme="majorHAnsi"/>
        </w:rPr>
        <w:t>)</w:t>
      </w:r>
    </w:p>
    <w:p w14:paraId="2DBCA341" w14:textId="449C84F5" w:rsidR="00BF5531" w:rsidRPr="00CB4DFE" w:rsidRDefault="00BF5531" w:rsidP="00BF5531">
      <w:pPr>
        <w:pStyle w:val="ListParagraph"/>
        <w:numPr>
          <w:ilvl w:val="2"/>
          <w:numId w:val="40"/>
        </w:numPr>
        <w:spacing w:after="240"/>
        <w:contextualSpacing w:val="0"/>
        <w:rPr>
          <w:rFonts w:asciiTheme="majorHAnsi" w:hAnsiTheme="majorHAnsi" w:cstheme="majorHAnsi"/>
        </w:rPr>
      </w:pPr>
      <w:r>
        <w:rPr>
          <w:rFonts w:asciiTheme="majorHAnsi" w:hAnsiTheme="majorHAnsi" w:cstheme="majorHAnsi"/>
          <w:i/>
        </w:rPr>
        <w:t>Background</w:t>
      </w:r>
      <w:r>
        <w:rPr>
          <w:rFonts w:asciiTheme="majorHAnsi" w:hAnsiTheme="majorHAnsi" w:cstheme="majorHAnsi"/>
        </w:rPr>
        <w:t xml:space="preserve">: The judges in the districts represented on the panel generally give each side a specific amount of time for openings, closings, and presentation of evidence at trial, and generally allow between one to two weeks for a patent trial. </w:t>
      </w:r>
    </w:p>
    <w:p w14:paraId="38CFAE4F" w14:textId="3759F520" w:rsidR="00BF5531" w:rsidRDefault="00BF5531" w:rsidP="00BF5531">
      <w:pPr>
        <w:pStyle w:val="ListParagraph"/>
        <w:numPr>
          <w:ilvl w:val="2"/>
          <w:numId w:val="40"/>
        </w:numPr>
        <w:spacing w:after="240"/>
        <w:contextualSpacing w:val="0"/>
        <w:rPr>
          <w:rFonts w:asciiTheme="majorHAnsi" w:hAnsiTheme="majorHAnsi" w:cstheme="majorHAnsi"/>
        </w:rPr>
      </w:pPr>
      <w:r>
        <w:rPr>
          <w:rFonts w:asciiTheme="majorHAnsi" w:hAnsiTheme="majorHAnsi" w:cstheme="majorHAnsi"/>
          <w:i/>
        </w:rPr>
        <w:t>Potential Question</w:t>
      </w:r>
      <w:r>
        <w:rPr>
          <w:rFonts w:asciiTheme="majorHAnsi" w:hAnsiTheme="majorHAnsi" w:cstheme="majorHAnsi"/>
        </w:rPr>
        <w:t xml:space="preserve">: </w:t>
      </w:r>
      <w:r w:rsidR="00F85B2A" w:rsidRPr="00ED0035">
        <w:rPr>
          <w:rFonts w:asciiTheme="majorHAnsi" w:hAnsiTheme="majorHAnsi" w:cstheme="majorHAnsi"/>
          <w:b/>
        </w:rPr>
        <w:t>Judge Yeakel</w:t>
      </w:r>
      <w:r w:rsidR="00F85B2A">
        <w:rPr>
          <w:rFonts w:asciiTheme="majorHAnsi" w:hAnsiTheme="majorHAnsi" w:cstheme="majorHAnsi"/>
          <w:b/>
        </w:rPr>
        <w:t>:</w:t>
      </w:r>
      <w:r w:rsidR="00F85B2A">
        <w:rPr>
          <w:rFonts w:asciiTheme="majorHAnsi" w:hAnsiTheme="majorHAnsi" w:cstheme="majorHAnsi"/>
        </w:rPr>
        <w:t xml:space="preserve"> You just had a pretty big patent trial last month that you got through in eight trial days. </w:t>
      </w:r>
      <w:r>
        <w:rPr>
          <w:rFonts w:asciiTheme="majorHAnsi" w:hAnsiTheme="majorHAnsi" w:cstheme="majorHAnsi"/>
        </w:rPr>
        <w:t xml:space="preserve">How do you decide how much time is needed for a given trial? </w:t>
      </w:r>
    </w:p>
    <w:p w14:paraId="111DA1E6" w14:textId="73B6CE56" w:rsidR="00DB2F2E" w:rsidRDefault="00DB2F2E" w:rsidP="00935A66">
      <w:pPr>
        <w:pStyle w:val="ListParagraph"/>
        <w:numPr>
          <w:ilvl w:val="3"/>
          <w:numId w:val="40"/>
        </w:numPr>
        <w:spacing w:after="240"/>
        <w:contextualSpacing w:val="0"/>
        <w:rPr>
          <w:rFonts w:asciiTheme="majorHAnsi" w:hAnsiTheme="majorHAnsi" w:cstheme="majorHAnsi"/>
        </w:rPr>
      </w:pPr>
      <w:r>
        <w:rPr>
          <w:rFonts w:asciiTheme="majorHAnsi" w:hAnsiTheme="majorHAnsi" w:cstheme="majorHAnsi"/>
          <w:i/>
        </w:rPr>
        <w:t>Potential Follow-Up Question</w:t>
      </w:r>
      <w:r>
        <w:rPr>
          <w:rFonts w:asciiTheme="majorHAnsi" w:hAnsiTheme="majorHAnsi" w:cstheme="majorHAnsi"/>
        </w:rPr>
        <w:t xml:space="preserve">: </w:t>
      </w:r>
      <w:r>
        <w:rPr>
          <w:rFonts w:asciiTheme="majorHAnsi" w:hAnsiTheme="majorHAnsi" w:cstheme="majorHAnsi"/>
          <w:b/>
        </w:rPr>
        <w:t>Judge</w:t>
      </w:r>
      <w:r w:rsidR="00D0347E">
        <w:rPr>
          <w:rFonts w:asciiTheme="majorHAnsi" w:hAnsiTheme="majorHAnsi" w:cstheme="majorHAnsi"/>
          <w:b/>
        </w:rPr>
        <w:t>s</w:t>
      </w:r>
      <w:r>
        <w:rPr>
          <w:rFonts w:asciiTheme="majorHAnsi" w:hAnsiTheme="majorHAnsi" w:cstheme="majorHAnsi"/>
          <w:b/>
        </w:rPr>
        <w:t xml:space="preserve"> Seeborg</w:t>
      </w:r>
      <w:r w:rsidR="00A40D02">
        <w:rPr>
          <w:rFonts w:asciiTheme="majorHAnsi" w:hAnsiTheme="majorHAnsi" w:cstheme="majorHAnsi"/>
          <w:b/>
        </w:rPr>
        <w:t xml:space="preserve"> and Connolly</w:t>
      </w:r>
      <w:r>
        <w:rPr>
          <w:rFonts w:asciiTheme="majorHAnsi" w:hAnsiTheme="majorHAnsi" w:cstheme="majorHAnsi"/>
          <w:b/>
        </w:rPr>
        <w:t xml:space="preserve">: </w:t>
      </w:r>
      <w:r>
        <w:rPr>
          <w:rFonts w:asciiTheme="majorHAnsi" w:hAnsiTheme="majorHAnsi" w:cstheme="majorHAnsi"/>
        </w:rPr>
        <w:t>How do you determine what amount of time is needed for a given trial, and how does that compare to what’s normally done in your district?</w:t>
      </w:r>
    </w:p>
    <w:p w14:paraId="371C94CC" w14:textId="77777777" w:rsidR="005C4E86" w:rsidRDefault="00BF5531" w:rsidP="00BF5531">
      <w:pPr>
        <w:pStyle w:val="ListParagraph"/>
        <w:numPr>
          <w:ilvl w:val="2"/>
          <w:numId w:val="40"/>
        </w:numPr>
        <w:spacing w:after="240"/>
        <w:contextualSpacing w:val="0"/>
        <w:rPr>
          <w:rFonts w:asciiTheme="majorHAnsi" w:hAnsiTheme="majorHAnsi" w:cstheme="majorHAnsi"/>
        </w:rPr>
      </w:pPr>
      <w:r>
        <w:rPr>
          <w:rFonts w:asciiTheme="majorHAnsi" w:hAnsiTheme="majorHAnsi" w:cstheme="majorHAnsi"/>
          <w:i/>
        </w:rPr>
        <w:t>Potential Question</w:t>
      </w:r>
      <w:r>
        <w:rPr>
          <w:rFonts w:asciiTheme="majorHAnsi" w:hAnsiTheme="majorHAnsi" w:cstheme="majorHAnsi"/>
        </w:rPr>
        <w:t xml:space="preserve">: </w:t>
      </w:r>
      <w:r w:rsidR="00A40D02">
        <w:rPr>
          <w:rFonts w:asciiTheme="majorHAnsi" w:hAnsiTheme="majorHAnsi" w:cstheme="majorHAnsi"/>
          <w:b/>
        </w:rPr>
        <w:t xml:space="preserve">[Open Question]: </w:t>
      </w:r>
      <w:r w:rsidR="00A40D02">
        <w:rPr>
          <w:rFonts w:asciiTheme="majorHAnsi" w:hAnsiTheme="majorHAnsi" w:cstheme="majorHAnsi"/>
        </w:rPr>
        <w:t xml:space="preserve">Do any of the other judges have </w:t>
      </w:r>
      <w:r w:rsidR="005C4E86">
        <w:rPr>
          <w:rFonts w:asciiTheme="majorHAnsi" w:hAnsiTheme="majorHAnsi" w:cstheme="majorHAnsi"/>
        </w:rPr>
        <w:t>different views?</w:t>
      </w:r>
    </w:p>
    <w:p w14:paraId="125EE14C" w14:textId="07BABCCF" w:rsidR="00BF5531" w:rsidRDefault="005C4E86" w:rsidP="005C4E86">
      <w:pPr>
        <w:pStyle w:val="ListParagraph"/>
        <w:numPr>
          <w:ilvl w:val="2"/>
          <w:numId w:val="40"/>
        </w:numPr>
        <w:spacing w:after="240"/>
        <w:contextualSpacing w:val="0"/>
        <w:rPr>
          <w:rFonts w:asciiTheme="majorHAnsi" w:hAnsiTheme="majorHAnsi" w:cstheme="majorHAnsi"/>
        </w:rPr>
      </w:pPr>
      <w:r>
        <w:rPr>
          <w:rFonts w:asciiTheme="majorHAnsi" w:hAnsiTheme="majorHAnsi" w:cstheme="majorHAnsi"/>
        </w:rPr>
        <w:t xml:space="preserve"> </w:t>
      </w:r>
      <w:r w:rsidRPr="005C4E86">
        <w:rPr>
          <w:rFonts w:asciiTheme="majorHAnsi" w:hAnsiTheme="majorHAnsi" w:cstheme="majorHAnsi"/>
          <w:i/>
        </w:rPr>
        <w:t>Potential Question</w:t>
      </w:r>
      <w:r w:rsidRPr="005C4E86">
        <w:rPr>
          <w:rFonts w:asciiTheme="majorHAnsi" w:hAnsiTheme="majorHAnsi" w:cstheme="majorHAnsi"/>
        </w:rPr>
        <w:t>: [</w:t>
      </w:r>
      <w:r w:rsidRPr="005C4E86">
        <w:rPr>
          <w:rFonts w:asciiTheme="majorHAnsi" w:hAnsiTheme="majorHAnsi" w:cstheme="majorHAnsi"/>
          <w:b/>
        </w:rPr>
        <w:t>Open Question</w:t>
      </w:r>
      <w:r w:rsidRPr="005C4E86">
        <w:rPr>
          <w:rFonts w:asciiTheme="majorHAnsi" w:hAnsiTheme="majorHAnsi" w:cstheme="majorHAnsi"/>
        </w:rPr>
        <w:t xml:space="preserve">]: Do any of the other judges </w:t>
      </w:r>
      <w:r>
        <w:rPr>
          <w:rFonts w:asciiTheme="majorHAnsi" w:hAnsiTheme="majorHAnsi" w:cstheme="majorHAnsi"/>
        </w:rPr>
        <w:t xml:space="preserve">have </w:t>
      </w:r>
      <w:r w:rsidR="00A40D02">
        <w:rPr>
          <w:rFonts w:asciiTheme="majorHAnsi" w:hAnsiTheme="majorHAnsi" w:cstheme="majorHAnsi"/>
        </w:rPr>
        <w:t>examples of good or bad use of trial time that they</w:t>
      </w:r>
      <w:r>
        <w:rPr>
          <w:rFonts w:asciiTheme="majorHAnsi" w:hAnsiTheme="majorHAnsi" w:cstheme="majorHAnsi"/>
        </w:rPr>
        <w:t xml:space="preserve"> would like to address</w:t>
      </w:r>
      <w:r w:rsidR="00A40D02">
        <w:rPr>
          <w:rFonts w:asciiTheme="majorHAnsi" w:hAnsiTheme="majorHAnsi" w:cstheme="majorHAnsi"/>
        </w:rPr>
        <w:t>?</w:t>
      </w:r>
      <w:r w:rsidR="00BF5531">
        <w:rPr>
          <w:rFonts w:asciiTheme="majorHAnsi" w:hAnsiTheme="majorHAnsi" w:cstheme="majorHAnsi"/>
        </w:rPr>
        <w:t xml:space="preserve"> </w:t>
      </w:r>
    </w:p>
    <w:p w14:paraId="5E407CE1" w14:textId="7D58086D" w:rsidR="00BF5531" w:rsidRPr="00C60A21" w:rsidRDefault="00BF5531" w:rsidP="00BF5531">
      <w:pPr>
        <w:pStyle w:val="ListParagraph"/>
        <w:numPr>
          <w:ilvl w:val="1"/>
          <w:numId w:val="40"/>
        </w:numPr>
        <w:spacing w:after="240"/>
        <w:contextualSpacing w:val="0"/>
        <w:rPr>
          <w:rFonts w:asciiTheme="majorHAnsi" w:hAnsiTheme="majorHAnsi" w:cstheme="majorHAnsi"/>
          <w:u w:val="single"/>
        </w:rPr>
      </w:pPr>
      <w:proofErr w:type="spellStart"/>
      <w:r w:rsidRPr="00C60A21">
        <w:rPr>
          <w:rFonts w:asciiTheme="majorHAnsi" w:hAnsiTheme="majorHAnsi" w:cstheme="majorHAnsi"/>
          <w:i/>
          <w:u w:val="single"/>
        </w:rPr>
        <w:t>Voir</w:t>
      </w:r>
      <w:proofErr w:type="spellEnd"/>
      <w:r w:rsidRPr="00C60A21">
        <w:rPr>
          <w:rFonts w:asciiTheme="majorHAnsi" w:hAnsiTheme="majorHAnsi" w:cstheme="majorHAnsi"/>
          <w:i/>
          <w:u w:val="single"/>
        </w:rPr>
        <w:t xml:space="preserve"> Dire: </w:t>
      </w:r>
      <w:r w:rsidR="00F13BDD">
        <w:rPr>
          <w:rFonts w:asciiTheme="majorHAnsi" w:hAnsiTheme="majorHAnsi" w:cstheme="majorHAnsi"/>
          <w:u w:val="single"/>
        </w:rPr>
        <w:t>(</w:t>
      </w:r>
      <w:r w:rsidR="00A264C2">
        <w:rPr>
          <w:rFonts w:asciiTheme="majorHAnsi" w:hAnsiTheme="majorHAnsi" w:cstheme="majorHAnsi"/>
          <w:u w:val="single"/>
        </w:rPr>
        <w:t>Josh Thane</w:t>
      </w:r>
      <w:r w:rsidR="00F13BDD">
        <w:rPr>
          <w:rFonts w:asciiTheme="majorHAnsi" w:hAnsiTheme="majorHAnsi" w:cstheme="majorHAnsi"/>
          <w:u w:val="single"/>
        </w:rPr>
        <w:t>)</w:t>
      </w:r>
    </w:p>
    <w:p w14:paraId="6B039E19" w14:textId="77777777" w:rsidR="00BF5531" w:rsidRPr="00C60A21" w:rsidRDefault="00BF5531" w:rsidP="00BF5531">
      <w:pPr>
        <w:pStyle w:val="ListParagraph"/>
        <w:numPr>
          <w:ilvl w:val="2"/>
          <w:numId w:val="40"/>
        </w:numPr>
        <w:spacing w:after="240"/>
        <w:contextualSpacing w:val="0"/>
        <w:rPr>
          <w:rFonts w:asciiTheme="majorHAnsi" w:hAnsiTheme="majorHAnsi" w:cstheme="majorHAnsi"/>
          <w:b/>
        </w:rPr>
      </w:pPr>
      <w:r>
        <w:rPr>
          <w:rFonts w:asciiTheme="majorHAnsi" w:hAnsiTheme="majorHAnsi" w:cstheme="majorHAnsi"/>
          <w:i/>
        </w:rPr>
        <w:t>Background</w:t>
      </w:r>
      <w:r>
        <w:rPr>
          <w:rFonts w:asciiTheme="majorHAnsi" w:hAnsiTheme="majorHAnsi" w:cstheme="majorHAnsi"/>
        </w:rPr>
        <w:t xml:space="preserve">: Some districts allow the attorneys to conduct a substantial questioning of the jury panel, while in others the judges conduct the </w:t>
      </w:r>
      <w:proofErr w:type="spellStart"/>
      <w:r>
        <w:rPr>
          <w:rFonts w:asciiTheme="majorHAnsi" w:hAnsiTheme="majorHAnsi" w:cstheme="majorHAnsi"/>
        </w:rPr>
        <w:t>voir</w:t>
      </w:r>
      <w:proofErr w:type="spellEnd"/>
      <w:r>
        <w:rPr>
          <w:rFonts w:asciiTheme="majorHAnsi" w:hAnsiTheme="majorHAnsi" w:cstheme="majorHAnsi"/>
        </w:rPr>
        <w:t xml:space="preserve"> dire themselves with little input from the attorneys. </w:t>
      </w:r>
    </w:p>
    <w:p w14:paraId="04D52789" w14:textId="3679438F" w:rsidR="00BF5531" w:rsidRDefault="00BF5531" w:rsidP="00BF5531">
      <w:pPr>
        <w:pStyle w:val="ListParagraph"/>
        <w:numPr>
          <w:ilvl w:val="2"/>
          <w:numId w:val="40"/>
        </w:numPr>
        <w:spacing w:after="240"/>
        <w:contextualSpacing w:val="0"/>
        <w:rPr>
          <w:rFonts w:asciiTheme="majorHAnsi" w:hAnsiTheme="majorHAnsi" w:cstheme="majorHAnsi"/>
        </w:rPr>
      </w:pPr>
      <w:r>
        <w:rPr>
          <w:rFonts w:asciiTheme="majorHAnsi" w:hAnsiTheme="majorHAnsi" w:cstheme="majorHAnsi"/>
          <w:i/>
        </w:rPr>
        <w:t>Potential Question</w:t>
      </w:r>
      <w:r>
        <w:rPr>
          <w:rFonts w:asciiTheme="majorHAnsi" w:hAnsiTheme="majorHAnsi" w:cstheme="majorHAnsi"/>
        </w:rPr>
        <w:t>:</w:t>
      </w:r>
      <w:r w:rsidRPr="00ED0035">
        <w:rPr>
          <w:rFonts w:asciiTheme="majorHAnsi" w:hAnsiTheme="majorHAnsi" w:cstheme="majorHAnsi"/>
          <w:b/>
        </w:rPr>
        <w:t xml:space="preserve"> </w:t>
      </w:r>
      <w:r w:rsidR="004A6B28" w:rsidRPr="00ED0035">
        <w:rPr>
          <w:rFonts w:asciiTheme="majorHAnsi" w:hAnsiTheme="majorHAnsi" w:cstheme="majorHAnsi"/>
          <w:b/>
        </w:rPr>
        <w:t>Judge Andrews</w:t>
      </w:r>
      <w:r w:rsidR="004A6B28">
        <w:rPr>
          <w:rFonts w:asciiTheme="majorHAnsi" w:hAnsiTheme="majorHAnsi" w:cstheme="majorHAnsi"/>
          <w:b/>
        </w:rPr>
        <w:t>:</w:t>
      </w:r>
      <w:r w:rsidR="004A6B28">
        <w:rPr>
          <w:rFonts w:asciiTheme="majorHAnsi" w:hAnsiTheme="majorHAnsi" w:cstheme="majorHAnsi"/>
        </w:rPr>
        <w:t xml:space="preserve"> </w:t>
      </w:r>
      <w:r w:rsidR="008A3135">
        <w:rPr>
          <w:rFonts w:asciiTheme="majorHAnsi" w:hAnsiTheme="majorHAnsi" w:cstheme="majorHAnsi"/>
        </w:rPr>
        <w:t xml:space="preserve">You </w:t>
      </w:r>
      <w:r w:rsidR="004A6B28">
        <w:rPr>
          <w:rFonts w:asciiTheme="majorHAnsi" w:hAnsiTheme="majorHAnsi" w:cstheme="majorHAnsi"/>
        </w:rPr>
        <w:t xml:space="preserve">have a sample </w:t>
      </w:r>
      <w:proofErr w:type="spellStart"/>
      <w:r w:rsidR="004A6B28">
        <w:rPr>
          <w:rFonts w:asciiTheme="majorHAnsi" w:hAnsiTheme="majorHAnsi" w:cstheme="majorHAnsi"/>
        </w:rPr>
        <w:t>voir</w:t>
      </w:r>
      <w:proofErr w:type="spellEnd"/>
      <w:r w:rsidR="004A6B28">
        <w:rPr>
          <w:rFonts w:asciiTheme="majorHAnsi" w:hAnsiTheme="majorHAnsi" w:cstheme="majorHAnsi"/>
        </w:rPr>
        <w:t xml:space="preserve"> dire form that you provide on your webpage. Do </w:t>
      </w:r>
      <w:r>
        <w:rPr>
          <w:rFonts w:asciiTheme="majorHAnsi" w:hAnsiTheme="majorHAnsi" w:cstheme="majorHAnsi"/>
        </w:rPr>
        <w:t xml:space="preserve">you feel that the attorneys are able to get the information they need to make intelligent decisions with regards to cause challenges and preemptory strikes? </w:t>
      </w:r>
    </w:p>
    <w:p w14:paraId="2F1CC703" w14:textId="13F21496" w:rsidR="008A3135" w:rsidRPr="00935A66" w:rsidRDefault="008A3135" w:rsidP="006222D5">
      <w:pPr>
        <w:pStyle w:val="ListParagraph"/>
        <w:numPr>
          <w:ilvl w:val="2"/>
          <w:numId w:val="40"/>
        </w:numPr>
        <w:spacing w:after="240"/>
        <w:contextualSpacing w:val="0"/>
        <w:rPr>
          <w:rFonts w:asciiTheme="majorHAnsi" w:hAnsiTheme="majorHAnsi" w:cstheme="majorHAnsi"/>
          <w:b/>
        </w:rPr>
      </w:pPr>
      <w:r w:rsidRPr="00A264C2">
        <w:rPr>
          <w:rFonts w:asciiTheme="majorHAnsi" w:hAnsiTheme="majorHAnsi" w:cstheme="majorHAnsi"/>
          <w:i/>
        </w:rPr>
        <w:t>Potential Follow-Up Question</w:t>
      </w:r>
      <w:r w:rsidRPr="00A264C2">
        <w:rPr>
          <w:rFonts w:asciiTheme="majorHAnsi" w:hAnsiTheme="majorHAnsi" w:cstheme="majorHAnsi"/>
        </w:rPr>
        <w:t xml:space="preserve">: </w:t>
      </w:r>
      <w:r w:rsidRPr="00A264C2">
        <w:rPr>
          <w:rFonts w:asciiTheme="majorHAnsi" w:hAnsiTheme="majorHAnsi" w:cstheme="majorHAnsi"/>
          <w:b/>
        </w:rPr>
        <w:t>[</w:t>
      </w:r>
      <w:r w:rsidR="00A264C2">
        <w:rPr>
          <w:rFonts w:asciiTheme="majorHAnsi" w:hAnsiTheme="majorHAnsi" w:cstheme="majorHAnsi"/>
          <w:b/>
        </w:rPr>
        <w:t xml:space="preserve">Judges </w:t>
      </w:r>
      <w:proofErr w:type="gramStart"/>
      <w:r w:rsidR="00A264C2">
        <w:rPr>
          <w:rFonts w:asciiTheme="majorHAnsi" w:hAnsiTheme="majorHAnsi" w:cstheme="majorHAnsi"/>
          <w:b/>
        </w:rPr>
        <w:t>Outside</w:t>
      </w:r>
      <w:proofErr w:type="gramEnd"/>
      <w:r w:rsidR="00A264C2">
        <w:rPr>
          <w:rFonts w:asciiTheme="majorHAnsi" w:hAnsiTheme="majorHAnsi" w:cstheme="majorHAnsi"/>
          <w:b/>
        </w:rPr>
        <w:t xml:space="preserve"> Texas</w:t>
      </w:r>
      <w:r w:rsidRPr="006222D5">
        <w:rPr>
          <w:rFonts w:asciiTheme="majorHAnsi" w:hAnsiTheme="majorHAnsi" w:cstheme="majorHAnsi"/>
          <w:b/>
        </w:rPr>
        <w:t>]:</w:t>
      </w:r>
      <w:r w:rsidRPr="006222D5">
        <w:rPr>
          <w:rFonts w:asciiTheme="majorHAnsi" w:hAnsiTheme="majorHAnsi" w:cstheme="majorHAnsi"/>
        </w:rPr>
        <w:t xml:space="preserve"> Do any of the other judges </w:t>
      </w:r>
      <w:r w:rsidR="00A264C2" w:rsidRPr="00A264C2">
        <w:rPr>
          <w:rFonts w:asciiTheme="majorHAnsi" w:hAnsiTheme="majorHAnsi" w:cstheme="majorHAnsi"/>
        </w:rPr>
        <w:t xml:space="preserve">outside of Texas </w:t>
      </w:r>
      <w:r w:rsidRPr="00A264C2">
        <w:rPr>
          <w:rFonts w:asciiTheme="majorHAnsi" w:hAnsiTheme="majorHAnsi" w:cstheme="majorHAnsi"/>
        </w:rPr>
        <w:t xml:space="preserve">have thoughts on letting attorneys conduct </w:t>
      </w:r>
      <w:proofErr w:type="spellStart"/>
      <w:r w:rsidRPr="00A264C2">
        <w:rPr>
          <w:rFonts w:asciiTheme="majorHAnsi" w:hAnsiTheme="majorHAnsi" w:cstheme="majorHAnsi"/>
        </w:rPr>
        <w:t>voir</w:t>
      </w:r>
      <w:proofErr w:type="spellEnd"/>
      <w:r w:rsidRPr="00A264C2">
        <w:rPr>
          <w:rFonts w:asciiTheme="majorHAnsi" w:hAnsiTheme="majorHAnsi" w:cstheme="majorHAnsi"/>
        </w:rPr>
        <w:t xml:space="preserve"> dire?</w:t>
      </w:r>
    </w:p>
    <w:p w14:paraId="2B9BD3E1" w14:textId="5800DB91" w:rsidR="005F4D31" w:rsidRPr="00C53F77" w:rsidRDefault="00A264C2" w:rsidP="00B1162D">
      <w:pPr>
        <w:pStyle w:val="ListParagraph"/>
        <w:numPr>
          <w:ilvl w:val="2"/>
          <w:numId w:val="40"/>
        </w:numPr>
        <w:rPr>
          <w:rFonts w:asciiTheme="majorHAnsi" w:hAnsiTheme="majorHAnsi" w:cstheme="majorHAnsi"/>
          <w:b/>
        </w:rPr>
      </w:pPr>
      <w:r w:rsidRPr="00935A66">
        <w:rPr>
          <w:rFonts w:asciiTheme="majorHAnsi" w:hAnsiTheme="majorHAnsi" w:cstheme="majorHAnsi"/>
          <w:i/>
        </w:rPr>
        <w:lastRenderedPageBreak/>
        <w:t>Potential Question</w:t>
      </w:r>
      <w:r w:rsidRPr="00935A66">
        <w:rPr>
          <w:rFonts w:asciiTheme="majorHAnsi" w:hAnsiTheme="majorHAnsi" w:cstheme="majorHAnsi"/>
        </w:rPr>
        <w:t xml:space="preserve">: </w:t>
      </w:r>
      <w:r w:rsidRPr="00935A66">
        <w:rPr>
          <w:rFonts w:asciiTheme="majorHAnsi" w:hAnsiTheme="majorHAnsi" w:cstheme="majorHAnsi"/>
          <w:b/>
        </w:rPr>
        <w:t xml:space="preserve">Judge Gilstrap: </w:t>
      </w:r>
      <w:r w:rsidRPr="00935A66">
        <w:rPr>
          <w:rFonts w:asciiTheme="majorHAnsi" w:hAnsiTheme="majorHAnsi" w:cstheme="majorHAnsi"/>
        </w:rPr>
        <w:t xml:space="preserve">You allow the attorneys to conduct a pretty full </w:t>
      </w:r>
      <w:proofErr w:type="spellStart"/>
      <w:r w:rsidRPr="00935A66">
        <w:rPr>
          <w:rFonts w:asciiTheme="majorHAnsi" w:hAnsiTheme="majorHAnsi" w:cstheme="majorHAnsi"/>
        </w:rPr>
        <w:t>voir</w:t>
      </w:r>
      <w:proofErr w:type="spellEnd"/>
      <w:r w:rsidRPr="00935A66">
        <w:rPr>
          <w:rFonts w:asciiTheme="majorHAnsi" w:hAnsiTheme="majorHAnsi" w:cstheme="majorHAnsi"/>
        </w:rPr>
        <w:t xml:space="preserve"> dire. Do you feel the attorneys make good use of the time given to them for questioning the jury panel?</w:t>
      </w:r>
    </w:p>
    <w:p w14:paraId="33F43BF1" w14:textId="77777777" w:rsidR="00C53F77" w:rsidRPr="00C53F77" w:rsidRDefault="00C53F77" w:rsidP="00C53F77">
      <w:pPr>
        <w:pStyle w:val="ListParagraph"/>
        <w:ind w:left="2160"/>
        <w:rPr>
          <w:rFonts w:asciiTheme="majorHAnsi" w:hAnsiTheme="majorHAnsi" w:cstheme="majorHAnsi"/>
          <w:b/>
        </w:rPr>
      </w:pPr>
    </w:p>
    <w:p w14:paraId="71DAF435" w14:textId="7F0DEEF8" w:rsidR="00C53F77" w:rsidRPr="00C53F77" w:rsidRDefault="00C53F77" w:rsidP="00B1162D">
      <w:pPr>
        <w:pStyle w:val="ListParagraph"/>
        <w:numPr>
          <w:ilvl w:val="2"/>
          <w:numId w:val="40"/>
        </w:numPr>
        <w:rPr>
          <w:rFonts w:asciiTheme="majorHAnsi" w:hAnsiTheme="majorHAnsi" w:cstheme="majorHAnsi"/>
          <w:b/>
        </w:rPr>
      </w:pPr>
      <w:r>
        <w:rPr>
          <w:rFonts w:asciiTheme="majorHAnsi" w:hAnsiTheme="majorHAnsi" w:cstheme="majorHAnsi"/>
          <w:i/>
        </w:rPr>
        <w:t>Potential Question</w:t>
      </w:r>
      <w:r>
        <w:rPr>
          <w:rFonts w:asciiTheme="majorHAnsi" w:hAnsiTheme="majorHAnsi" w:cstheme="majorHAnsi"/>
        </w:rPr>
        <w:t xml:space="preserve">: </w:t>
      </w:r>
      <w:r>
        <w:rPr>
          <w:rFonts w:asciiTheme="majorHAnsi" w:hAnsiTheme="majorHAnsi" w:cstheme="majorHAnsi"/>
          <w:b/>
        </w:rPr>
        <w:t>Judge Stark</w:t>
      </w:r>
      <w:r w:rsidRPr="00C15E81">
        <w:rPr>
          <w:rFonts w:asciiTheme="majorHAnsi" w:hAnsiTheme="majorHAnsi" w:cstheme="majorHAnsi"/>
          <w:b/>
        </w:rPr>
        <w:t>:</w:t>
      </w:r>
      <w:r>
        <w:rPr>
          <w:rFonts w:asciiTheme="majorHAnsi" w:hAnsiTheme="majorHAnsi" w:cstheme="majorHAnsi"/>
        </w:rPr>
        <w:t xml:space="preserve"> Do</w:t>
      </w:r>
      <w:r w:rsidR="00670B98">
        <w:rPr>
          <w:rFonts w:asciiTheme="majorHAnsi" w:hAnsiTheme="majorHAnsi" w:cstheme="majorHAnsi"/>
        </w:rPr>
        <w:t>es your experience</w:t>
      </w:r>
      <w:r>
        <w:rPr>
          <w:rFonts w:asciiTheme="majorHAnsi" w:hAnsiTheme="majorHAnsi" w:cstheme="majorHAnsi"/>
        </w:rPr>
        <w:t xml:space="preserve"> as a district court judge influence the way you view challenges to t</w:t>
      </w:r>
      <w:r w:rsidR="00670B98">
        <w:rPr>
          <w:rFonts w:asciiTheme="majorHAnsi" w:hAnsiTheme="majorHAnsi" w:cstheme="majorHAnsi"/>
        </w:rPr>
        <w:t xml:space="preserve">rial court </w:t>
      </w:r>
      <w:r>
        <w:rPr>
          <w:rFonts w:asciiTheme="majorHAnsi" w:hAnsiTheme="majorHAnsi" w:cstheme="majorHAnsi"/>
        </w:rPr>
        <w:t>rulings on appeal now</w:t>
      </w:r>
      <w:r w:rsidR="00670B98">
        <w:rPr>
          <w:rFonts w:asciiTheme="majorHAnsi" w:hAnsiTheme="majorHAnsi" w:cstheme="majorHAnsi"/>
        </w:rPr>
        <w:t>, and if so, can you elaborate</w:t>
      </w:r>
      <w:r>
        <w:rPr>
          <w:rFonts w:asciiTheme="majorHAnsi" w:hAnsiTheme="majorHAnsi" w:cstheme="majorHAnsi"/>
        </w:rPr>
        <w:t xml:space="preserve">? </w:t>
      </w:r>
    </w:p>
    <w:p w14:paraId="6032A4B8" w14:textId="77777777" w:rsidR="00C53F77" w:rsidRPr="00C53F77" w:rsidRDefault="00C53F77" w:rsidP="00C53F77">
      <w:pPr>
        <w:pStyle w:val="ListParagraph"/>
        <w:rPr>
          <w:rFonts w:asciiTheme="majorHAnsi" w:hAnsiTheme="majorHAnsi" w:cstheme="majorHAnsi"/>
          <w:b/>
        </w:rPr>
      </w:pPr>
    </w:p>
    <w:p w14:paraId="7CE513FD" w14:textId="42F23498" w:rsidR="00C53F77" w:rsidRPr="00C53F77" w:rsidRDefault="00C53F77" w:rsidP="00C53F77">
      <w:pPr>
        <w:pStyle w:val="ListParagraph"/>
        <w:numPr>
          <w:ilvl w:val="3"/>
          <w:numId w:val="40"/>
        </w:numPr>
        <w:rPr>
          <w:rFonts w:asciiTheme="majorHAnsi" w:hAnsiTheme="majorHAnsi" w:cstheme="majorHAnsi"/>
          <w:b/>
        </w:rPr>
      </w:pPr>
      <w:r w:rsidRPr="00C53F77">
        <w:rPr>
          <w:rFonts w:asciiTheme="majorHAnsi" w:hAnsiTheme="majorHAnsi" w:cstheme="majorHAnsi"/>
          <w:i/>
        </w:rPr>
        <w:t>Potential follow-up question:</w:t>
      </w:r>
      <w:r>
        <w:rPr>
          <w:rFonts w:asciiTheme="majorHAnsi" w:hAnsiTheme="majorHAnsi" w:cstheme="majorHAnsi"/>
          <w:b/>
        </w:rPr>
        <w:t xml:space="preserve"> Judge Stark: </w:t>
      </w:r>
      <w:r w:rsidRPr="00C53F77">
        <w:rPr>
          <w:rFonts w:asciiTheme="majorHAnsi" w:hAnsiTheme="majorHAnsi" w:cstheme="majorHAnsi"/>
        </w:rPr>
        <w:t>Now that you’ve been on the Federal Circuit for a bit, is there anything you would have done differently as a district court judge?</w:t>
      </w:r>
      <w:r>
        <w:rPr>
          <w:rFonts w:asciiTheme="majorHAnsi" w:hAnsiTheme="majorHAnsi" w:cstheme="majorHAnsi"/>
        </w:rPr>
        <w:t xml:space="preserve"> And is there anything that you would recommend to the trial bar to do differently to make the trial judge’s job easier or your judge easier?</w:t>
      </w:r>
    </w:p>
    <w:p w14:paraId="02D47ED3" w14:textId="77777777" w:rsidR="00C53F77" w:rsidRPr="00C53F77" w:rsidRDefault="00C53F77" w:rsidP="00C53F77">
      <w:pPr>
        <w:pStyle w:val="ListParagraph"/>
        <w:ind w:left="2880"/>
        <w:rPr>
          <w:rFonts w:asciiTheme="majorHAnsi" w:hAnsiTheme="majorHAnsi" w:cstheme="majorHAnsi"/>
          <w:b/>
        </w:rPr>
      </w:pPr>
    </w:p>
    <w:p w14:paraId="7A00B6E5" w14:textId="30DD9E0C" w:rsidR="004B1654" w:rsidRPr="00466CF3" w:rsidRDefault="004B1654" w:rsidP="004B1654">
      <w:pPr>
        <w:pStyle w:val="ListParagraph"/>
        <w:numPr>
          <w:ilvl w:val="0"/>
          <w:numId w:val="40"/>
        </w:numPr>
        <w:rPr>
          <w:rFonts w:asciiTheme="majorHAnsi" w:hAnsiTheme="majorHAnsi" w:cstheme="majorHAnsi"/>
          <w:b/>
        </w:rPr>
      </w:pPr>
      <w:r w:rsidRPr="00466CF3">
        <w:rPr>
          <w:rFonts w:asciiTheme="majorHAnsi" w:hAnsiTheme="majorHAnsi" w:cstheme="majorHAnsi"/>
          <w:b/>
        </w:rPr>
        <w:t xml:space="preserve">Case </w:t>
      </w:r>
      <w:r w:rsidR="0078217E">
        <w:rPr>
          <w:rFonts w:asciiTheme="majorHAnsi" w:hAnsiTheme="majorHAnsi" w:cstheme="majorHAnsi"/>
          <w:b/>
        </w:rPr>
        <w:t>M</w:t>
      </w:r>
      <w:r w:rsidRPr="00466CF3">
        <w:rPr>
          <w:rFonts w:asciiTheme="majorHAnsi" w:hAnsiTheme="majorHAnsi" w:cstheme="majorHAnsi"/>
          <w:b/>
        </w:rPr>
        <w:t xml:space="preserve">anagement </w:t>
      </w:r>
    </w:p>
    <w:p w14:paraId="4CACFF68" w14:textId="77777777" w:rsidR="00466CF3" w:rsidRDefault="00466CF3" w:rsidP="00466CF3">
      <w:pPr>
        <w:pStyle w:val="ListParagraph"/>
        <w:rPr>
          <w:rFonts w:asciiTheme="majorHAnsi" w:hAnsiTheme="majorHAnsi" w:cstheme="majorHAnsi"/>
        </w:rPr>
      </w:pPr>
    </w:p>
    <w:p w14:paraId="669FCF44" w14:textId="1B90CF36" w:rsidR="004B1654" w:rsidRDefault="004B1654" w:rsidP="004B1654">
      <w:pPr>
        <w:pStyle w:val="ListParagraph"/>
        <w:numPr>
          <w:ilvl w:val="1"/>
          <w:numId w:val="40"/>
        </w:numPr>
        <w:rPr>
          <w:rFonts w:asciiTheme="majorHAnsi" w:hAnsiTheme="majorHAnsi" w:cstheme="majorHAnsi"/>
          <w:u w:val="single"/>
        </w:rPr>
      </w:pPr>
      <w:r w:rsidRPr="00466CF3">
        <w:rPr>
          <w:rFonts w:asciiTheme="majorHAnsi" w:hAnsiTheme="majorHAnsi" w:cstheme="majorHAnsi"/>
          <w:u w:val="single"/>
        </w:rPr>
        <w:t xml:space="preserve">Time to claim construction </w:t>
      </w:r>
      <w:r w:rsidR="00F13BDD">
        <w:rPr>
          <w:rFonts w:asciiTheme="majorHAnsi" w:hAnsiTheme="majorHAnsi" w:cstheme="majorHAnsi"/>
          <w:u w:val="single"/>
        </w:rPr>
        <w:t>(Kevin Collins)</w:t>
      </w:r>
    </w:p>
    <w:p w14:paraId="504CC249" w14:textId="77777777" w:rsidR="00466CF3" w:rsidRPr="00466CF3" w:rsidRDefault="00466CF3" w:rsidP="00466CF3">
      <w:pPr>
        <w:pStyle w:val="ListParagraph"/>
        <w:ind w:left="1440"/>
        <w:rPr>
          <w:rFonts w:asciiTheme="majorHAnsi" w:hAnsiTheme="majorHAnsi" w:cstheme="majorHAnsi"/>
          <w:u w:val="single"/>
        </w:rPr>
      </w:pPr>
    </w:p>
    <w:p w14:paraId="67AF185C" w14:textId="366212F3" w:rsidR="00466CF3" w:rsidRDefault="00466CF3" w:rsidP="00466CF3">
      <w:pPr>
        <w:pStyle w:val="ListParagraph"/>
        <w:numPr>
          <w:ilvl w:val="2"/>
          <w:numId w:val="40"/>
        </w:numPr>
        <w:rPr>
          <w:rFonts w:asciiTheme="majorHAnsi" w:hAnsiTheme="majorHAnsi" w:cstheme="majorHAnsi"/>
        </w:rPr>
      </w:pPr>
      <w:r w:rsidRPr="00466CF3">
        <w:rPr>
          <w:rFonts w:asciiTheme="majorHAnsi" w:hAnsiTheme="majorHAnsi" w:cstheme="majorHAnsi"/>
          <w:i/>
        </w:rPr>
        <w:t>Background</w:t>
      </w:r>
      <w:r>
        <w:rPr>
          <w:rFonts w:asciiTheme="majorHAnsi" w:hAnsiTheme="majorHAnsi" w:cstheme="majorHAnsi"/>
        </w:rPr>
        <w:t xml:space="preserve">:  </w:t>
      </w:r>
      <w:r w:rsidRPr="00CB4DFE">
        <w:rPr>
          <w:rFonts w:asciiTheme="majorHAnsi" w:hAnsiTheme="majorHAnsi" w:cstheme="majorHAnsi"/>
        </w:rPr>
        <w:t>Claim construction is a critical milestone in patent case</w:t>
      </w:r>
      <w:r>
        <w:rPr>
          <w:rFonts w:asciiTheme="majorHAnsi" w:hAnsiTheme="majorHAnsi" w:cstheme="majorHAnsi"/>
        </w:rPr>
        <w:t>s</w:t>
      </w:r>
      <w:r w:rsidRPr="00CB4DFE">
        <w:rPr>
          <w:rFonts w:asciiTheme="majorHAnsi" w:hAnsiTheme="majorHAnsi" w:cstheme="majorHAnsi"/>
        </w:rPr>
        <w:t>, following which disputes often resolve</w:t>
      </w:r>
      <w:r>
        <w:rPr>
          <w:rFonts w:asciiTheme="majorHAnsi" w:hAnsiTheme="majorHAnsi" w:cstheme="majorHAnsi"/>
        </w:rPr>
        <w:t xml:space="preserve"> or narrow</w:t>
      </w:r>
      <w:r w:rsidRPr="00CB4DFE">
        <w:rPr>
          <w:rFonts w:asciiTheme="majorHAnsi" w:hAnsiTheme="majorHAnsi" w:cstheme="majorHAnsi"/>
        </w:rPr>
        <w:t xml:space="preserve">.  </w:t>
      </w:r>
    </w:p>
    <w:p w14:paraId="4E2ADB4E" w14:textId="77777777" w:rsidR="00466CF3" w:rsidRDefault="00466CF3" w:rsidP="00466CF3">
      <w:pPr>
        <w:pStyle w:val="ListParagraph"/>
        <w:ind w:left="2160"/>
        <w:rPr>
          <w:rFonts w:asciiTheme="majorHAnsi" w:hAnsiTheme="majorHAnsi" w:cstheme="majorHAnsi"/>
        </w:rPr>
      </w:pPr>
    </w:p>
    <w:p w14:paraId="445F4B76" w14:textId="365B48D8" w:rsidR="00466CF3" w:rsidRDefault="00466CF3" w:rsidP="00466CF3">
      <w:pPr>
        <w:pStyle w:val="ListParagraph"/>
        <w:numPr>
          <w:ilvl w:val="2"/>
          <w:numId w:val="40"/>
        </w:numPr>
        <w:rPr>
          <w:rFonts w:asciiTheme="majorHAnsi" w:hAnsiTheme="majorHAnsi" w:cstheme="majorHAnsi"/>
        </w:rPr>
      </w:pPr>
      <w:r w:rsidRPr="00466CF3">
        <w:rPr>
          <w:rFonts w:asciiTheme="majorHAnsi" w:hAnsiTheme="majorHAnsi" w:cstheme="majorHAnsi"/>
          <w:i/>
        </w:rPr>
        <w:t>Potential Question</w:t>
      </w:r>
      <w:r>
        <w:rPr>
          <w:rFonts w:asciiTheme="majorHAnsi" w:hAnsiTheme="majorHAnsi" w:cstheme="majorHAnsi"/>
        </w:rPr>
        <w:t>:</w:t>
      </w:r>
      <w:r w:rsidRPr="00466CF3">
        <w:rPr>
          <w:rFonts w:asciiTheme="majorHAnsi" w:hAnsiTheme="majorHAnsi" w:cstheme="majorHAnsi"/>
        </w:rPr>
        <w:t xml:space="preserve"> </w:t>
      </w:r>
      <w:r>
        <w:rPr>
          <w:rFonts w:asciiTheme="majorHAnsi" w:hAnsiTheme="majorHAnsi" w:cstheme="majorHAnsi"/>
        </w:rPr>
        <w:t xml:space="preserve"> </w:t>
      </w:r>
      <w:r w:rsidR="00B1162D" w:rsidRPr="00B1162D">
        <w:rPr>
          <w:rFonts w:asciiTheme="majorHAnsi" w:hAnsiTheme="majorHAnsi" w:cstheme="majorHAnsi"/>
          <w:b/>
        </w:rPr>
        <w:t xml:space="preserve">Judge </w:t>
      </w:r>
      <w:r w:rsidR="003F2E71">
        <w:rPr>
          <w:rFonts w:asciiTheme="majorHAnsi" w:hAnsiTheme="majorHAnsi" w:cstheme="majorHAnsi"/>
          <w:b/>
        </w:rPr>
        <w:t>Andrews</w:t>
      </w:r>
      <w:r w:rsidR="00B1162D">
        <w:rPr>
          <w:rFonts w:asciiTheme="majorHAnsi" w:hAnsiTheme="majorHAnsi" w:cstheme="majorHAnsi"/>
        </w:rPr>
        <w:t xml:space="preserve">:  </w:t>
      </w:r>
      <w:r w:rsidR="004B6CD0">
        <w:rPr>
          <w:rFonts w:asciiTheme="majorHAnsi" w:hAnsiTheme="majorHAnsi" w:cstheme="majorHAnsi"/>
        </w:rPr>
        <w:t>Given the cruc</w:t>
      </w:r>
      <w:r w:rsidR="0016534E">
        <w:rPr>
          <w:rFonts w:asciiTheme="majorHAnsi" w:hAnsiTheme="majorHAnsi" w:cstheme="majorHAnsi"/>
        </w:rPr>
        <w:t xml:space="preserve">ial role that claims </w:t>
      </w:r>
      <w:r w:rsidR="004B6CD0">
        <w:rPr>
          <w:rFonts w:asciiTheme="majorHAnsi" w:hAnsiTheme="majorHAnsi" w:cstheme="majorHAnsi"/>
        </w:rPr>
        <w:t xml:space="preserve">plays in </w:t>
      </w:r>
      <w:r w:rsidR="0016534E">
        <w:rPr>
          <w:rFonts w:asciiTheme="majorHAnsi" w:hAnsiTheme="majorHAnsi" w:cstheme="majorHAnsi"/>
        </w:rPr>
        <w:t>our patent system</w:t>
      </w:r>
      <w:r w:rsidR="004B6CD0">
        <w:rPr>
          <w:rFonts w:asciiTheme="majorHAnsi" w:hAnsiTheme="majorHAnsi" w:cstheme="majorHAnsi"/>
        </w:rPr>
        <w:t xml:space="preserve">, are there things that </w:t>
      </w:r>
      <w:r w:rsidR="00CE70C4">
        <w:rPr>
          <w:rFonts w:asciiTheme="majorHAnsi" w:hAnsiTheme="majorHAnsi" w:cstheme="majorHAnsi"/>
        </w:rPr>
        <w:t>courts</w:t>
      </w:r>
      <w:r w:rsidR="004B6CD0">
        <w:rPr>
          <w:rFonts w:asciiTheme="majorHAnsi" w:hAnsiTheme="majorHAnsi" w:cstheme="majorHAnsi"/>
        </w:rPr>
        <w:t xml:space="preserve"> and parties can</w:t>
      </w:r>
      <w:r w:rsidR="004047ED">
        <w:rPr>
          <w:rFonts w:asciiTheme="majorHAnsi" w:hAnsiTheme="majorHAnsi" w:cstheme="majorHAnsi"/>
        </w:rPr>
        <w:t xml:space="preserve"> do </w:t>
      </w:r>
      <w:r w:rsidRPr="00CB4DFE">
        <w:rPr>
          <w:rFonts w:asciiTheme="majorHAnsi" w:hAnsiTheme="majorHAnsi" w:cstheme="majorHAnsi"/>
        </w:rPr>
        <w:t xml:space="preserve">to </w:t>
      </w:r>
      <w:r w:rsidR="004B6CD0">
        <w:rPr>
          <w:rFonts w:asciiTheme="majorHAnsi" w:hAnsiTheme="majorHAnsi" w:cstheme="majorHAnsi"/>
        </w:rPr>
        <w:t xml:space="preserve">get to </w:t>
      </w:r>
      <w:proofErr w:type="spellStart"/>
      <w:r w:rsidRPr="00CB4DFE">
        <w:rPr>
          <w:rFonts w:asciiTheme="majorHAnsi" w:hAnsiTheme="majorHAnsi" w:cstheme="majorHAnsi"/>
          <w:i/>
        </w:rPr>
        <w:t>Markman</w:t>
      </w:r>
      <w:proofErr w:type="spellEnd"/>
      <w:r w:rsidR="004B6CD0">
        <w:rPr>
          <w:rFonts w:asciiTheme="majorHAnsi" w:hAnsiTheme="majorHAnsi" w:cstheme="majorHAnsi"/>
        </w:rPr>
        <w:t xml:space="preserve"> quickly</w:t>
      </w:r>
      <w:r w:rsidRPr="00CB4DFE">
        <w:rPr>
          <w:rFonts w:asciiTheme="majorHAnsi" w:hAnsiTheme="majorHAnsi" w:cstheme="majorHAnsi"/>
        </w:rPr>
        <w:t>, or at least construe key claim terms, earlier in a case?</w:t>
      </w:r>
    </w:p>
    <w:p w14:paraId="5F0F26FD" w14:textId="77777777" w:rsidR="00815D44" w:rsidRPr="00935A66" w:rsidRDefault="00815D44" w:rsidP="00935A66">
      <w:pPr>
        <w:pStyle w:val="ListParagraph"/>
        <w:rPr>
          <w:rFonts w:asciiTheme="majorHAnsi" w:hAnsiTheme="majorHAnsi" w:cstheme="majorHAnsi"/>
        </w:rPr>
      </w:pPr>
    </w:p>
    <w:p w14:paraId="16248D66" w14:textId="08CA5DE7" w:rsidR="00815D44" w:rsidRDefault="00815D44" w:rsidP="00935A66">
      <w:pPr>
        <w:pStyle w:val="ListParagraph"/>
        <w:numPr>
          <w:ilvl w:val="3"/>
          <w:numId w:val="40"/>
        </w:numPr>
        <w:rPr>
          <w:rFonts w:asciiTheme="majorHAnsi" w:hAnsiTheme="majorHAnsi" w:cstheme="majorHAnsi"/>
        </w:rPr>
      </w:pPr>
      <w:r>
        <w:rPr>
          <w:rFonts w:asciiTheme="majorHAnsi" w:hAnsiTheme="majorHAnsi" w:cstheme="majorHAnsi"/>
          <w:i/>
        </w:rPr>
        <w:t>Potential Follow-Up Question</w:t>
      </w:r>
      <w:r>
        <w:rPr>
          <w:rFonts w:asciiTheme="majorHAnsi" w:hAnsiTheme="majorHAnsi" w:cstheme="majorHAnsi"/>
        </w:rPr>
        <w:t xml:space="preserve">: </w:t>
      </w:r>
      <w:r>
        <w:rPr>
          <w:rFonts w:asciiTheme="majorHAnsi" w:hAnsiTheme="majorHAnsi" w:cstheme="majorHAnsi"/>
          <w:b/>
        </w:rPr>
        <w:t>[Open Question]:</w:t>
      </w:r>
      <w:r>
        <w:rPr>
          <w:rFonts w:asciiTheme="majorHAnsi" w:hAnsiTheme="majorHAnsi" w:cstheme="majorHAnsi"/>
        </w:rPr>
        <w:t xml:space="preserve"> Do any of the other judges have things they do to try to get to </w:t>
      </w:r>
      <w:proofErr w:type="spellStart"/>
      <w:r>
        <w:rPr>
          <w:rFonts w:asciiTheme="majorHAnsi" w:hAnsiTheme="majorHAnsi" w:cstheme="majorHAnsi"/>
          <w:i/>
        </w:rPr>
        <w:t>Markman</w:t>
      </w:r>
      <w:proofErr w:type="spellEnd"/>
      <w:r>
        <w:rPr>
          <w:rFonts w:asciiTheme="majorHAnsi" w:hAnsiTheme="majorHAnsi" w:cstheme="majorHAnsi"/>
        </w:rPr>
        <w:t xml:space="preserve"> quicker or different views on whether claims should be construed early?</w:t>
      </w:r>
    </w:p>
    <w:p w14:paraId="0B0A2925" w14:textId="77777777" w:rsidR="00935A66" w:rsidRPr="00935A66" w:rsidRDefault="00935A66" w:rsidP="00935A66">
      <w:pPr>
        <w:pStyle w:val="ListParagraph"/>
        <w:ind w:left="2880"/>
        <w:rPr>
          <w:rFonts w:asciiTheme="majorHAnsi" w:hAnsiTheme="majorHAnsi" w:cstheme="majorHAnsi"/>
        </w:rPr>
      </w:pPr>
    </w:p>
    <w:p w14:paraId="673E776F" w14:textId="519333EE" w:rsidR="00466CF3" w:rsidRPr="00935A66" w:rsidRDefault="00935A66" w:rsidP="00935A66">
      <w:pPr>
        <w:pStyle w:val="ListParagraph"/>
        <w:numPr>
          <w:ilvl w:val="3"/>
          <w:numId w:val="40"/>
        </w:numPr>
        <w:rPr>
          <w:rFonts w:asciiTheme="majorHAnsi" w:hAnsiTheme="majorHAnsi" w:cstheme="majorHAnsi"/>
        </w:rPr>
      </w:pPr>
      <w:r>
        <w:rPr>
          <w:rFonts w:asciiTheme="majorHAnsi" w:hAnsiTheme="majorHAnsi" w:cstheme="majorHAnsi"/>
          <w:i/>
        </w:rPr>
        <w:t>Potential Follow-Up Question</w:t>
      </w:r>
      <w:r>
        <w:rPr>
          <w:rFonts w:asciiTheme="majorHAnsi" w:hAnsiTheme="majorHAnsi" w:cstheme="majorHAnsi"/>
        </w:rPr>
        <w:t>: If there’s a claim term that a party believes is dispositive, would any judges allow teeing up that one claim term without prejudice to having a full claim construction hearing later on?</w:t>
      </w:r>
    </w:p>
    <w:p w14:paraId="321D1163" w14:textId="77777777" w:rsidR="00466CF3" w:rsidRPr="00466CF3" w:rsidRDefault="00466CF3" w:rsidP="00466CF3">
      <w:pPr>
        <w:rPr>
          <w:rFonts w:asciiTheme="majorHAnsi" w:hAnsiTheme="majorHAnsi" w:cstheme="majorHAnsi"/>
          <w:u w:val="single"/>
        </w:rPr>
      </w:pPr>
    </w:p>
    <w:p w14:paraId="2A4EE57C" w14:textId="1F826F66" w:rsidR="004B1654" w:rsidRPr="00466CF3" w:rsidRDefault="004B1654" w:rsidP="004B1654">
      <w:pPr>
        <w:pStyle w:val="ListParagraph"/>
        <w:numPr>
          <w:ilvl w:val="1"/>
          <w:numId w:val="40"/>
        </w:numPr>
        <w:rPr>
          <w:rFonts w:asciiTheme="majorHAnsi" w:hAnsiTheme="majorHAnsi" w:cstheme="majorHAnsi"/>
          <w:u w:val="single"/>
        </w:rPr>
      </w:pPr>
      <w:r w:rsidRPr="00466CF3">
        <w:rPr>
          <w:rFonts w:asciiTheme="majorHAnsi" w:hAnsiTheme="majorHAnsi" w:cstheme="majorHAnsi"/>
          <w:u w:val="single"/>
        </w:rPr>
        <w:t>Early case narrowing requirements</w:t>
      </w:r>
      <w:r w:rsidR="00F13BDD">
        <w:rPr>
          <w:rFonts w:asciiTheme="majorHAnsi" w:hAnsiTheme="majorHAnsi" w:cstheme="majorHAnsi"/>
          <w:u w:val="single"/>
        </w:rPr>
        <w:t xml:space="preserve"> (</w:t>
      </w:r>
      <w:r w:rsidR="00935A66">
        <w:rPr>
          <w:rFonts w:asciiTheme="majorHAnsi" w:hAnsiTheme="majorHAnsi" w:cstheme="majorHAnsi"/>
          <w:u w:val="single"/>
        </w:rPr>
        <w:t>Josh Thane</w:t>
      </w:r>
      <w:r w:rsidR="00F13BDD">
        <w:rPr>
          <w:rFonts w:asciiTheme="majorHAnsi" w:hAnsiTheme="majorHAnsi" w:cstheme="majorHAnsi"/>
          <w:u w:val="single"/>
        </w:rPr>
        <w:t>)</w:t>
      </w:r>
    </w:p>
    <w:p w14:paraId="73B0C8F5" w14:textId="77777777" w:rsidR="00466CF3" w:rsidRDefault="00466CF3" w:rsidP="00466CF3">
      <w:pPr>
        <w:pStyle w:val="ListParagraph"/>
        <w:ind w:left="1440"/>
        <w:rPr>
          <w:rFonts w:asciiTheme="majorHAnsi" w:hAnsiTheme="majorHAnsi" w:cstheme="majorHAnsi"/>
          <w:u w:val="single"/>
        </w:rPr>
      </w:pPr>
    </w:p>
    <w:p w14:paraId="601A4E6C" w14:textId="103715D8" w:rsidR="00466CF3" w:rsidRDefault="00466CF3" w:rsidP="00466CF3">
      <w:pPr>
        <w:pStyle w:val="ListParagraph"/>
        <w:numPr>
          <w:ilvl w:val="2"/>
          <w:numId w:val="40"/>
        </w:numPr>
        <w:rPr>
          <w:rFonts w:asciiTheme="majorHAnsi" w:hAnsiTheme="majorHAnsi" w:cstheme="majorHAnsi"/>
        </w:rPr>
      </w:pPr>
      <w:r w:rsidRPr="00466CF3">
        <w:rPr>
          <w:rFonts w:asciiTheme="majorHAnsi" w:hAnsiTheme="majorHAnsi" w:cstheme="majorHAnsi"/>
          <w:i/>
        </w:rPr>
        <w:t>Background</w:t>
      </w:r>
      <w:r w:rsidRPr="00466CF3">
        <w:rPr>
          <w:rFonts w:asciiTheme="majorHAnsi" w:hAnsiTheme="majorHAnsi" w:cstheme="majorHAnsi"/>
        </w:rPr>
        <w:t xml:space="preserve">: </w:t>
      </w:r>
      <w:r>
        <w:rPr>
          <w:rFonts w:asciiTheme="majorHAnsi" w:hAnsiTheme="majorHAnsi" w:cstheme="majorHAnsi"/>
        </w:rPr>
        <w:t xml:space="preserve"> </w:t>
      </w:r>
      <w:r w:rsidRPr="00CB4DFE">
        <w:rPr>
          <w:rFonts w:asciiTheme="majorHAnsi" w:hAnsiTheme="majorHAnsi" w:cstheme="majorHAnsi"/>
        </w:rPr>
        <w:t xml:space="preserve">Although all courts require </w:t>
      </w:r>
      <w:r>
        <w:rPr>
          <w:rFonts w:asciiTheme="majorHAnsi" w:hAnsiTheme="majorHAnsi" w:cstheme="majorHAnsi"/>
        </w:rPr>
        <w:t xml:space="preserve">parties </w:t>
      </w:r>
      <w:r w:rsidRPr="00CB4DFE">
        <w:rPr>
          <w:rFonts w:asciiTheme="majorHAnsi" w:hAnsiTheme="majorHAnsi" w:cstheme="majorHAnsi"/>
        </w:rPr>
        <w:t xml:space="preserve">to narrow their </w:t>
      </w:r>
      <w:r>
        <w:rPr>
          <w:rFonts w:asciiTheme="majorHAnsi" w:hAnsiTheme="majorHAnsi" w:cstheme="majorHAnsi"/>
        </w:rPr>
        <w:t xml:space="preserve">case </w:t>
      </w:r>
      <w:r w:rsidRPr="00CB4DFE">
        <w:rPr>
          <w:rFonts w:asciiTheme="majorHAnsi" w:hAnsiTheme="majorHAnsi" w:cstheme="majorHAnsi"/>
        </w:rPr>
        <w:t>as trial approaches, this is generally done on a case-by-case basis.  However, in what appears to be a first, on April 26, 2022, Chief Judge Connolly issued a form Scheduling Order for Hatch-Waxman Cases that requires disclosure of asserted claims</w:t>
      </w:r>
      <w:r w:rsidR="00FE52A6">
        <w:rPr>
          <w:rFonts w:asciiTheme="majorHAnsi" w:hAnsiTheme="majorHAnsi" w:cstheme="majorHAnsi"/>
        </w:rPr>
        <w:t xml:space="preserve"> </w:t>
      </w:r>
      <w:r w:rsidRPr="00CB4DFE">
        <w:rPr>
          <w:rFonts w:asciiTheme="majorHAnsi" w:hAnsiTheme="majorHAnsi" w:cstheme="majorHAnsi"/>
        </w:rPr>
        <w:t xml:space="preserve">within a week </w:t>
      </w:r>
      <w:r w:rsidR="00FE52A6">
        <w:rPr>
          <w:rFonts w:asciiTheme="majorHAnsi" w:hAnsiTheme="majorHAnsi" w:cstheme="majorHAnsi"/>
        </w:rPr>
        <w:t xml:space="preserve">or so </w:t>
      </w:r>
      <w:r w:rsidRPr="00CB4DFE">
        <w:rPr>
          <w:rFonts w:asciiTheme="majorHAnsi" w:hAnsiTheme="majorHAnsi" w:cstheme="majorHAnsi"/>
        </w:rPr>
        <w:t xml:space="preserve">of the initial scheduling conference.  The order </w:t>
      </w:r>
      <w:r>
        <w:rPr>
          <w:rFonts w:asciiTheme="majorHAnsi" w:hAnsiTheme="majorHAnsi" w:cstheme="majorHAnsi"/>
        </w:rPr>
        <w:t xml:space="preserve">requires </w:t>
      </w:r>
      <w:r w:rsidRPr="00CB4DFE">
        <w:rPr>
          <w:rFonts w:asciiTheme="majorHAnsi" w:hAnsiTheme="majorHAnsi" w:cstheme="majorHAnsi"/>
        </w:rPr>
        <w:t>that,</w:t>
      </w:r>
      <w:r>
        <w:rPr>
          <w:rFonts w:asciiTheme="majorHAnsi" w:hAnsiTheme="majorHAnsi" w:cstheme="majorHAnsi"/>
        </w:rPr>
        <w:t xml:space="preserve"> absent an agreement to the contrary</w:t>
      </w:r>
      <w:r w:rsidRPr="00CB4DFE">
        <w:rPr>
          <w:rFonts w:asciiTheme="majorHAnsi" w:hAnsiTheme="majorHAnsi" w:cstheme="majorHAnsi"/>
        </w:rPr>
        <w:t xml:space="preserve"> </w:t>
      </w:r>
      <w:r>
        <w:rPr>
          <w:rFonts w:asciiTheme="majorHAnsi" w:hAnsiTheme="majorHAnsi" w:cstheme="majorHAnsi"/>
        </w:rPr>
        <w:t>between the parties, “</w:t>
      </w:r>
      <w:r w:rsidRPr="00CB4DFE">
        <w:rPr>
          <w:rFonts w:asciiTheme="majorHAnsi" w:hAnsiTheme="majorHAnsi" w:cstheme="majorHAnsi"/>
        </w:rPr>
        <w:t xml:space="preserve">Plaintiff(s) may assert </w:t>
      </w:r>
      <w:r w:rsidRPr="00CB4DFE">
        <w:rPr>
          <w:rFonts w:asciiTheme="majorHAnsi" w:hAnsiTheme="majorHAnsi" w:cstheme="majorHAnsi"/>
          <w:i/>
        </w:rPr>
        <w:t xml:space="preserve">no more than ten claims of any one patent and no more than 32 claims in total against any one </w:t>
      </w:r>
      <w:r w:rsidRPr="00CB4DFE">
        <w:rPr>
          <w:rFonts w:asciiTheme="majorHAnsi" w:hAnsiTheme="majorHAnsi" w:cstheme="majorHAnsi"/>
          <w:i/>
        </w:rPr>
        <w:lastRenderedPageBreak/>
        <w:t>Defendant</w:t>
      </w:r>
      <w:r w:rsidRPr="00CB4DFE">
        <w:rPr>
          <w:rFonts w:asciiTheme="majorHAnsi" w:hAnsiTheme="majorHAnsi" w:cstheme="majorHAnsi"/>
        </w:rPr>
        <w:t>.</w:t>
      </w:r>
      <w:r>
        <w:rPr>
          <w:rFonts w:asciiTheme="majorHAnsi" w:hAnsiTheme="majorHAnsi" w:cstheme="majorHAnsi"/>
        </w:rPr>
        <w:t>”</w:t>
      </w:r>
      <w:r w:rsidRPr="00CB4DFE">
        <w:rPr>
          <w:rFonts w:asciiTheme="majorHAnsi" w:hAnsiTheme="majorHAnsi" w:cstheme="majorHAnsi"/>
        </w:rPr>
        <w:t>  (Paragraph 5, Scheduling Order for Hatch-Waxman Patent Infringement Cases.)</w:t>
      </w:r>
    </w:p>
    <w:p w14:paraId="6C3F62F8" w14:textId="77777777" w:rsidR="00466CF3" w:rsidRPr="00466CF3" w:rsidRDefault="00466CF3" w:rsidP="00466CF3">
      <w:pPr>
        <w:pStyle w:val="ListParagraph"/>
        <w:ind w:left="2160"/>
        <w:rPr>
          <w:rFonts w:asciiTheme="majorHAnsi" w:hAnsiTheme="majorHAnsi" w:cstheme="majorHAnsi"/>
        </w:rPr>
      </w:pPr>
    </w:p>
    <w:p w14:paraId="6A0B7C37" w14:textId="74FFDB12" w:rsidR="00466CF3" w:rsidRPr="00FE52A6" w:rsidRDefault="00466CF3" w:rsidP="00466CF3">
      <w:pPr>
        <w:pStyle w:val="ListParagraph"/>
        <w:numPr>
          <w:ilvl w:val="2"/>
          <w:numId w:val="40"/>
        </w:numPr>
        <w:rPr>
          <w:rFonts w:asciiTheme="majorHAnsi" w:hAnsiTheme="majorHAnsi" w:cstheme="majorHAnsi"/>
          <w:u w:val="single"/>
        </w:rPr>
      </w:pPr>
      <w:r w:rsidRPr="00466CF3">
        <w:rPr>
          <w:rFonts w:asciiTheme="majorHAnsi" w:hAnsiTheme="majorHAnsi" w:cstheme="majorHAnsi"/>
          <w:i/>
        </w:rPr>
        <w:t>Potential Question</w:t>
      </w:r>
      <w:r w:rsidRPr="00466CF3">
        <w:rPr>
          <w:rFonts w:asciiTheme="majorHAnsi" w:hAnsiTheme="majorHAnsi" w:cstheme="majorHAnsi"/>
        </w:rPr>
        <w:t xml:space="preserve">:  </w:t>
      </w:r>
      <w:r w:rsidR="00B1162D" w:rsidRPr="00B1162D">
        <w:rPr>
          <w:rFonts w:asciiTheme="majorHAnsi" w:hAnsiTheme="majorHAnsi" w:cstheme="majorHAnsi"/>
          <w:b/>
        </w:rPr>
        <w:t xml:space="preserve">Judge </w:t>
      </w:r>
      <w:r w:rsidR="00B1162D">
        <w:rPr>
          <w:rFonts w:asciiTheme="majorHAnsi" w:hAnsiTheme="majorHAnsi" w:cstheme="majorHAnsi"/>
          <w:b/>
        </w:rPr>
        <w:t>Connolly</w:t>
      </w:r>
      <w:r w:rsidR="00B1162D">
        <w:rPr>
          <w:rFonts w:asciiTheme="majorHAnsi" w:hAnsiTheme="majorHAnsi" w:cstheme="majorHAnsi"/>
        </w:rPr>
        <w:t xml:space="preserve">:  </w:t>
      </w:r>
      <w:r w:rsidR="00FE52A6">
        <w:rPr>
          <w:rFonts w:asciiTheme="majorHAnsi" w:hAnsiTheme="majorHAnsi" w:cstheme="majorHAnsi"/>
        </w:rPr>
        <w:t xml:space="preserve">Are </w:t>
      </w:r>
      <w:r w:rsidR="00FE52A6" w:rsidRPr="00CB4DFE">
        <w:rPr>
          <w:rFonts w:asciiTheme="majorHAnsi" w:hAnsiTheme="majorHAnsi" w:cstheme="majorHAnsi"/>
        </w:rPr>
        <w:t xml:space="preserve">these numbers—10 claims per patent and 32 claims per defendant—the right limits?  And what kind of results </w:t>
      </w:r>
      <w:r w:rsidR="00FE52A6">
        <w:rPr>
          <w:rFonts w:asciiTheme="majorHAnsi" w:hAnsiTheme="majorHAnsi" w:cstheme="majorHAnsi"/>
        </w:rPr>
        <w:t xml:space="preserve">is the Court </w:t>
      </w:r>
      <w:r w:rsidR="00FE52A6" w:rsidRPr="00CB4DFE">
        <w:rPr>
          <w:rFonts w:asciiTheme="majorHAnsi" w:hAnsiTheme="majorHAnsi" w:cstheme="majorHAnsi"/>
        </w:rPr>
        <w:t xml:space="preserve">seeing from requiring this selection early in the case?  </w:t>
      </w:r>
    </w:p>
    <w:p w14:paraId="033240B6" w14:textId="77777777" w:rsidR="00466CF3" w:rsidRPr="00466CF3" w:rsidRDefault="00466CF3" w:rsidP="00466CF3">
      <w:pPr>
        <w:rPr>
          <w:rFonts w:asciiTheme="majorHAnsi" w:hAnsiTheme="majorHAnsi" w:cstheme="majorHAnsi"/>
        </w:rPr>
      </w:pPr>
    </w:p>
    <w:p w14:paraId="6E1905E6" w14:textId="0A702F0F" w:rsidR="004B1654" w:rsidRPr="00FE52A6" w:rsidRDefault="004B1654" w:rsidP="004B1654">
      <w:pPr>
        <w:pStyle w:val="ListParagraph"/>
        <w:numPr>
          <w:ilvl w:val="1"/>
          <w:numId w:val="40"/>
        </w:numPr>
        <w:rPr>
          <w:rFonts w:asciiTheme="majorHAnsi" w:hAnsiTheme="majorHAnsi" w:cstheme="majorHAnsi"/>
          <w:u w:val="single"/>
        </w:rPr>
      </w:pPr>
      <w:r w:rsidRPr="00FE52A6">
        <w:rPr>
          <w:rFonts w:asciiTheme="majorHAnsi" w:hAnsiTheme="majorHAnsi" w:cstheme="majorHAnsi"/>
          <w:u w:val="single"/>
        </w:rPr>
        <w:t>Pre-trial case narrowing</w:t>
      </w:r>
      <w:r w:rsidR="00F13BDD">
        <w:rPr>
          <w:rFonts w:asciiTheme="majorHAnsi" w:hAnsiTheme="majorHAnsi" w:cstheme="majorHAnsi"/>
          <w:u w:val="single"/>
        </w:rPr>
        <w:t xml:space="preserve"> (</w:t>
      </w:r>
      <w:r w:rsidR="00FF686F">
        <w:rPr>
          <w:rFonts w:asciiTheme="majorHAnsi" w:hAnsiTheme="majorHAnsi" w:cstheme="majorHAnsi"/>
          <w:u w:val="single"/>
        </w:rPr>
        <w:t>Kevin Collins</w:t>
      </w:r>
      <w:r w:rsidR="00F13BDD">
        <w:rPr>
          <w:rFonts w:asciiTheme="majorHAnsi" w:hAnsiTheme="majorHAnsi" w:cstheme="majorHAnsi"/>
          <w:u w:val="single"/>
        </w:rPr>
        <w:t>)</w:t>
      </w:r>
    </w:p>
    <w:p w14:paraId="4CD7E31C" w14:textId="77777777" w:rsidR="00FE52A6" w:rsidRDefault="00FE52A6" w:rsidP="00FE52A6">
      <w:pPr>
        <w:pStyle w:val="ListParagraph"/>
        <w:ind w:left="1440"/>
        <w:rPr>
          <w:rFonts w:asciiTheme="majorHAnsi" w:hAnsiTheme="majorHAnsi" w:cstheme="majorHAnsi"/>
          <w:u w:val="single"/>
        </w:rPr>
      </w:pPr>
    </w:p>
    <w:p w14:paraId="113093CC" w14:textId="1C6DC53F" w:rsidR="00FE52A6" w:rsidRDefault="00FE52A6" w:rsidP="00FE52A6">
      <w:pPr>
        <w:pStyle w:val="ListParagraph"/>
        <w:numPr>
          <w:ilvl w:val="2"/>
          <w:numId w:val="40"/>
        </w:numPr>
        <w:rPr>
          <w:rFonts w:asciiTheme="majorHAnsi" w:hAnsiTheme="majorHAnsi" w:cstheme="majorHAnsi"/>
        </w:rPr>
      </w:pPr>
      <w:r w:rsidRPr="00466CF3">
        <w:rPr>
          <w:rFonts w:asciiTheme="majorHAnsi" w:hAnsiTheme="majorHAnsi" w:cstheme="majorHAnsi"/>
          <w:i/>
        </w:rPr>
        <w:t>Background</w:t>
      </w:r>
      <w:r w:rsidRPr="00466CF3">
        <w:rPr>
          <w:rFonts w:asciiTheme="majorHAnsi" w:hAnsiTheme="majorHAnsi" w:cstheme="majorHAnsi"/>
        </w:rPr>
        <w:t xml:space="preserve">: </w:t>
      </w:r>
      <w:r>
        <w:rPr>
          <w:rFonts w:asciiTheme="majorHAnsi" w:hAnsiTheme="majorHAnsi" w:cstheme="majorHAnsi"/>
        </w:rPr>
        <w:t xml:space="preserve"> </w:t>
      </w:r>
      <w:r w:rsidRPr="00CB4DFE">
        <w:rPr>
          <w:rFonts w:asciiTheme="majorHAnsi" w:hAnsiTheme="majorHAnsi" w:cstheme="majorHAnsi"/>
        </w:rPr>
        <w:t xml:space="preserve">Chief Judge </w:t>
      </w:r>
      <w:proofErr w:type="spellStart"/>
      <w:r w:rsidRPr="00CB4DFE">
        <w:rPr>
          <w:rFonts w:asciiTheme="majorHAnsi" w:hAnsiTheme="majorHAnsi" w:cstheme="majorHAnsi"/>
        </w:rPr>
        <w:t>Gilstrap’s</w:t>
      </w:r>
      <w:proofErr w:type="spellEnd"/>
      <w:r w:rsidRPr="00CB4DFE">
        <w:rPr>
          <w:rFonts w:asciiTheme="majorHAnsi" w:hAnsiTheme="majorHAnsi" w:cstheme="majorHAnsi"/>
        </w:rPr>
        <w:t xml:space="preserve"> Sample Docket Control Order requires that, six weeks before jury selection, parties file a Joint Pretrial Order, detailing their respective contentions.  The order states that contentions cannot be “amended, supplemented, </w:t>
      </w:r>
      <w:r w:rsidRPr="00CB4DFE">
        <w:rPr>
          <w:rFonts w:asciiTheme="majorHAnsi" w:hAnsiTheme="majorHAnsi" w:cstheme="majorHAnsi"/>
          <w:i/>
          <w:u w:val="single"/>
        </w:rPr>
        <w:t>or dropped</w:t>
      </w:r>
      <w:r w:rsidRPr="00CB4DFE">
        <w:rPr>
          <w:rFonts w:asciiTheme="majorHAnsi" w:hAnsiTheme="majorHAnsi" w:cstheme="majorHAnsi"/>
        </w:rPr>
        <w:t xml:space="preserve"> without leave of the Court . . . upon a showing of good cause.”  </w:t>
      </w:r>
    </w:p>
    <w:p w14:paraId="0FA2BECC" w14:textId="77777777" w:rsidR="00FE52A6" w:rsidRPr="00466CF3" w:rsidRDefault="00FE52A6" w:rsidP="00FE52A6">
      <w:pPr>
        <w:pStyle w:val="ListParagraph"/>
        <w:ind w:left="2160"/>
        <w:rPr>
          <w:rFonts w:asciiTheme="majorHAnsi" w:hAnsiTheme="majorHAnsi" w:cstheme="majorHAnsi"/>
        </w:rPr>
      </w:pPr>
    </w:p>
    <w:p w14:paraId="717E48BC" w14:textId="065CC632" w:rsidR="00FE52A6" w:rsidRPr="00935A66" w:rsidRDefault="00FE52A6" w:rsidP="00FE52A6">
      <w:pPr>
        <w:pStyle w:val="ListParagraph"/>
        <w:numPr>
          <w:ilvl w:val="2"/>
          <w:numId w:val="40"/>
        </w:numPr>
        <w:rPr>
          <w:rFonts w:asciiTheme="majorHAnsi" w:hAnsiTheme="majorHAnsi" w:cstheme="majorHAnsi"/>
          <w:u w:val="single"/>
        </w:rPr>
      </w:pPr>
      <w:r w:rsidRPr="00466CF3">
        <w:rPr>
          <w:rFonts w:asciiTheme="majorHAnsi" w:hAnsiTheme="majorHAnsi" w:cstheme="majorHAnsi"/>
          <w:i/>
        </w:rPr>
        <w:t>Potential Question</w:t>
      </w:r>
      <w:r w:rsidRPr="00466CF3">
        <w:rPr>
          <w:rFonts w:asciiTheme="majorHAnsi" w:hAnsiTheme="majorHAnsi" w:cstheme="majorHAnsi"/>
        </w:rPr>
        <w:t xml:space="preserve">:  </w:t>
      </w:r>
      <w:r w:rsidR="00B1162D" w:rsidRPr="00B1162D">
        <w:rPr>
          <w:rFonts w:asciiTheme="majorHAnsi" w:hAnsiTheme="majorHAnsi" w:cstheme="majorHAnsi"/>
          <w:b/>
        </w:rPr>
        <w:t xml:space="preserve">Judge </w:t>
      </w:r>
      <w:r w:rsidR="00B1162D">
        <w:rPr>
          <w:rFonts w:asciiTheme="majorHAnsi" w:hAnsiTheme="majorHAnsi" w:cstheme="majorHAnsi"/>
          <w:b/>
        </w:rPr>
        <w:t>Gilstrap</w:t>
      </w:r>
      <w:r w:rsidR="00B1162D">
        <w:rPr>
          <w:rFonts w:asciiTheme="majorHAnsi" w:hAnsiTheme="majorHAnsi" w:cstheme="majorHAnsi"/>
        </w:rPr>
        <w:t xml:space="preserve">:  </w:t>
      </w:r>
      <w:r w:rsidRPr="00CB4DFE">
        <w:rPr>
          <w:rFonts w:asciiTheme="majorHAnsi" w:hAnsiTheme="majorHAnsi" w:cstheme="majorHAnsi"/>
        </w:rPr>
        <w:t>Heading into trial, do</w:t>
      </w:r>
      <w:r>
        <w:rPr>
          <w:rFonts w:asciiTheme="majorHAnsi" w:hAnsiTheme="majorHAnsi" w:cstheme="majorHAnsi"/>
        </w:rPr>
        <w:t xml:space="preserve">es EDTX regard </w:t>
      </w:r>
      <w:r w:rsidRPr="00CB4DFE">
        <w:rPr>
          <w:rFonts w:asciiTheme="majorHAnsi" w:hAnsiTheme="majorHAnsi" w:cstheme="majorHAnsi"/>
        </w:rPr>
        <w:t xml:space="preserve">any particular number of asserted claims and invalidity grounds as reasonable?  </w:t>
      </w:r>
      <w:r>
        <w:rPr>
          <w:rFonts w:asciiTheme="majorHAnsi" w:hAnsiTheme="majorHAnsi" w:cstheme="majorHAnsi"/>
        </w:rPr>
        <w:t xml:space="preserve">Are </w:t>
      </w:r>
      <w:r w:rsidRPr="00CB4DFE">
        <w:rPr>
          <w:rFonts w:asciiTheme="majorHAnsi" w:hAnsiTheme="majorHAnsi" w:cstheme="majorHAnsi"/>
        </w:rPr>
        <w:t xml:space="preserve">parties </w:t>
      </w:r>
      <w:r>
        <w:rPr>
          <w:rFonts w:asciiTheme="majorHAnsi" w:hAnsiTheme="majorHAnsi" w:cstheme="majorHAnsi"/>
        </w:rPr>
        <w:t xml:space="preserve">directed </w:t>
      </w:r>
      <w:r w:rsidRPr="00CB4DFE">
        <w:rPr>
          <w:rFonts w:asciiTheme="majorHAnsi" w:hAnsiTheme="majorHAnsi" w:cstheme="majorHAnsi"/>
        </w:rPr>
        <w:t xml:space="preserve">to comply with those numbers as trial approaches, </w:t>
      </w:r>
      <w:r>
        <w:rPr>
          <w:rFonts w:asciiTheme="majorHAnsi" w:hAnsiTheme="majorHAnsi" w:cstheme="majorHAnsi"/>
        </w:rPr>
        <w:t>or does the rule against dropping contentions without permission adequately incentivize parties to properly narrow their cases</w:t>
      </w:r>
      <w:r w:rsidR="009D217C">
        <w:rPr>
          <w:rFonts w:asciiTheme="majorHAnsi" w:hAnsiTheme="majorHAnsi" w:cstheme="majorHAnsi"/>
        </w:rPr>
        <w:t xml:space="preserve"> and to do so at the right timeframe in the life of a case</w:t>
      </w:r>
      <w:r>
        <w:rPr>
          <w:rFonts w:asciiTheme="majorHAnsi" w:hAnsiTheme="majorHAnsi" w:cstheme="majorHAnsi"/>
        </w:rPr>
        <w:t xml:space="preserve">?  </w:t>
      </w:r>
    </w:p>
    <w:p w14:paraId="0BDB5162" w14:textId="77777777" w:rsidR="00CF2700" w:rsidRPr="00935A66" w:rsidRDefault="00CF2700" w:rsidP="00935A66">
      <w:pPr>
        <w:pStyle w:val="ListParagraph"/>
        <w:rPr>
          <w:rFonts w:asciiTheme="majorHAnsi" w:hAnsiTheme="majorHAnsi" w:cstheme="majorHAnsi"/>
          <w:u w:val="single"/>
        </w:rPr>
      </w:pPr>
    </w:p>
    <w:p w14:paraId="7996BCEA" w14:textId="1C430ED8" w:rsidR="00CF2700" w:rsidRPr="00FE52A6" w:rsidRDefault="00CF2700" w:rsidP="00935A66">
      <w:pPr>
        <w:pStyle w:val="ListParagraph"/>
        <w:numPr>
          <w:ilvl w:val="3"/>
          <w:numId w:val="40"/>
        </w:numPr>
        <w:rPr>
          <w:rFonts w:asciiTheme="majorHAnsi" w:hAnsiTheme="majorHAnsi" w:cstheme="majorHAnsi"/>
          <w:u w:val="single"/>
        </w:rPr>
      </w:pPr>
      <w:r>
        <w:rPr>
          <w:rFonts w:asciiTheme="majorHAnsi" w:hAnsiTheme="majorHAnsi" w:cstheme="majorHAnsi"/>
          <w:i/>
        </w:rPr>
        <w:t>Potential Follow-Up Question</w:t>
      </w:r>
      <w:r>
        <w:rPr>
          <w:rFonts w:asciiTheme="majorHAnsi" w:hAnsiTheme="majorHAnsi" w:cstheme="majorHAnsi"/>
        </w:rPr>
        <w:t xml:space="preserve">: </w:t>
      </w:r>
      <w:r>
        <w:rPr>
          <w:rFonts w:asciiTheme="majorHAnsi" w:hAnsiTheme="majorHAnsi" w:cstheme="majorHAnsi"/>
          <w:b/>
        </w:rPr>
        <w:t>[Open Question]:</w:t>
      </w:r>
      <w:r>
        <w:rPr>
          <w:rFonts w:asciiTheme="majorHAnsi" w:hAnsiTheme="majorHAnsi" w:cstheme="majorHAnsi"/>
        </w:rPr>
        <w:t xml:space="preserve"> Do any of the other judges have a different practice on the number of asserted claims and invalidity grounds they allow to be presented at trial?</w:t>
      </w:r>
    </w:p>
    <w:p w14:paraId="364D4417" w14:textId="04EF114B" w:rsidR="004B1654" w:rsidRPr="004B1654" w:rsidRDefault="004B1654" w:rsidP="004B1654">
      <w:pPr>
        <w:rPr>
          <w:rFonts w:asciiTheme="majorHAnsi" w:hAnsiTheme="majorHAnsi" w:cstheme="majorHAnsi"/>
        </w:rPr>
      </w:pPr>
    </w:p>
    <w:p w14:paraId="5CDEEF22" w14:textId="140C3376" w:rsidR="00CE7291" w:rsidRPr="004C0527" w:rsidRDefault="00CE7291" w:rsidP="00CE7291">
      <w:pPr>
        <w:pStyle w:val="ListParagraph"/>
        <w:numPr>
          <w:ilvl w:val="0"/>
          <w:numId w:val="40"/>
        </w:numPr>
        <w:rPr>
          <w:rFonts w:asciiTheme="majorHAnsi" w:hAnsiTheme="majorHAnsi" w:cstheme="majorHAnsi"/>
          <w:b/>
        </w:rPr>
      </w:pPr>
      <w:r>
        <w:rPr>
          <w:rFonts w:asciiTheme="majorHAnsi" w:hAnsiTheme="majorHAnsi" w:cstheme="majorHAnsi"/>
          <w:b/>
        </w:rPr>
        <w:t xml:space="preserve">The State of Patent Law [Open Questions] (Josh </w:t>
      </w:r>
      <w:r w:rsidR="00FF686F">
        <w:rPr>
          <w:rFonts w:asciiTheme="majorHAnsi" w:hAnsiTheme="majorHAnsi" w:cstheme="majorHAnsi"/>
          <w:b/>
        </w:rPr>
        <w:t xml:space="preserve">Thane </w:t>
      </w:r>
      <w:r>
        <w:rPr>
          <w:rFonts w:asciiTheme="majorHAnsi" w:hAnsiTheme="majorHAnsi" w:cstheme="majorHAnsi"/>
          <w:b/>
        </w:rPr>
        <w:t>and Kevin</w:t>
      </w:r>
      <w:r w:rsidR="00FF686F">
        <w:rPr>
          <w:rFonts w:asciiTheme="majorHAnsi" w:hAnsiTheme="majorHAnsi" w:cstheme="majorHAnsi"/>
          <w:b/>
        </w:rPr>
        <w:t xml:space="preserve"> Collins</w:t>
      </w:r>
      <w:r>
        <w:rPr>
          <w:rFonts w:asciiTheme="majorHAnsi" w:hAnsiTheme="majorHAnsi" w:cstheme="majorHAnsi"/>
          <w:b/>
        </w:rPr>
        <w:t>)</w:t>
      </w:r>
    </w:p>
    <w:p w14:paraId="6F88D55F" w14:textId="77777777" w:rsidR="00CE7291" w:rsidRPr="00B82E6A" w:rsidRDefault="00CE7291" w:rsidP="00CE7291">
      <w:pPr>
        <w:rPr>
          <w:rFonts w:asciiTheme="majorHAnsi" w:hAnsiTheme="majorHAnsi" w:cstheme="majorHAnsi"/>
          <w:u w:val="single"/>
        </w:rPr>
      </w:pPr>
    </w:p>
    <w:p w14:paraId="79B3C92B" w14:textId="0B5C9D3F" w:rsidR="00CE7291" w:rsidRPr="00B82E6A" w:rsidRDefault="00CE7291" w:rsidP="00CE7291">
      <w:pPr>
        <w:pStyle w:val="ListParagraph"/>
        <w:numPr>
          <w:ilvl w:val="1"/>
          <w:numId w:val="40"/>
        </w:numPr>
        <w:rPr>
          <w:rFonts w:asciiTheme="majorHAnsi" w:hAnsiTheme="majorHAnsi" w:cstheme="majorHAnsi"/>
        </w:rPr>
      </w:pPr>
      <w:r w:rsidRPr="00466CF3">
        <w:rPr>
          <w:rFonts w:asciiTheme="majorHAnsi" w:hAnsiTheme="majorHAnsi" w:cstheme="majorHAnsi"/>
          <w:i/>
        </w:rPr>
        <w:t>Potential Question</w:t>
      </w:r>
      <w:r>
        <w:rPr>
          <w:rFonts w:asciiTheme="majorHAnsi" w:hAnsiTheme="majorHAnsi" w:cstheme="majorHAnsi"/>
        </w:rPr>
        <w:t>:</w:t>
      </w:r>
      <w:r w:rsidRPr="00466CF3">
        <w:rPr>
          <w:rFonts w:asciiTheme="majorHAnsi" w:hAnsiTheme="majorHAnsi" w:cstheme="majorHAnsi"/>
        </w:rPr>
        <w:t xml:space="preserve"> </w:t>
      </w:r>
      <w:r>
        <w:rPr>
          <w:rFonts w:asciiTheme="majorHAnsi" w:hAnsiTheme="majorHAnsi" w:cstheme="majorHAnsi"/>
        </w:rPr>
        <w:t xml:space="preserve"> </w:t>
      </w:r>
      <w:r w:rsidR="00FF686F">
        <w:rPr>
          <w:rFonts w:asciiTheme="majorHAnsi" w:hAnsiTheme="majorHAnsi" w:cstheme="majorHAnsi"/>
        </w:rPr>
        <w:t xml:space="preserve">(Kevin Collins) </w:t>
      </w:r>
      <w:r w:rsidRPr="00B072F7">
        <w:t xml:space="preserve">Is the US patent system </w:t>
      </w:r>
      <w:r>
        <w:t>effectively promoting scientific progress</w:t>
      </w:r>
      <w:r w:rsidRPr="00B072F7">
        <w:t>?</w:t>
      </w:r>
      <w:r>
        <w:t xml:space="preserve"> If you could change one thing about our system, what would it be? And if you could receive guidance form the Supreme Court or Federal Circuit on one patent law issue, what would it be?</w:t>
      </w:r>
    </w:p>
    <w:p w14:paraId="01396E10" w14:textId="77777777" w:rsidR="00CE7291" w:rsidRDefault="00CE7291" w:rsidP="00CE7291">
      <w:pPr>
        <w:pStyle w:val="ListParagraph"/>
        <w:ind w:left="2160"/>
        <w:rPr>
          <w:rFonts w:asciiTheme="majorHAnsi" w:hAnsiTheme="majorHAnsi" w:cstheme="majorHAnsi"/>
        </w:rPr>
      </w:pPr>
    </w:p>
    <w:p w14:paraId="13401489" w14:textId="3B1E537B" w:rsidR="00CE7291" w:rsidRPr="00B82E6A" w:rsidRDefault="00CE7291" w:rsidP="00CE7291">
      <w:pPr>
        <w:pStyle w:val="ListParagraph"/>
        <w:numPr>
          <w:ilvl w:val="1"/>
          <w:numId w:val="40"/>
        </w:numPr>
        <w:rPr>
          <w:rFonts w:asciiTheme="majorHAnsi" w:hAnsiTheme="majorHAnsi" w:cstheme="majorHAnsi"/>
        </w:rPr>
      </w:pPr>
      <w:r w:rsidRPr="00466CF3">
        <w:rPr>
          <w:rFonts w:asciiTheme="majorHAnsi" w:hAnsiTheme="majorHAnsi" w:cstheme="majorHAnsi"/>
          <w:i/>
        </w:rPr>
        <w:t>Potential Question</w:t>
      </w:r>
      <w:r>
        <w:rPr>
          <w:rFonts w:asciiTheme="majorHAnsi" w:hAnsiTheme="majorHAnsi" w:cstheme="majorHAnsi"/>
        </w:rPr>
        <w:t>:</w:t>
      </w:r>
      <w:r w:rsidR="00FF686F">
        <w:rPr>
          <w:rFonts w:asciiTheme="majorHAnsi" w:hAnsiTheme="majorHAnsi" w:cstheme="majorHAnsi"/>
        </w:rPr>
        <w:t xml:space="preserve"> (Josh Thane)</w:t>
      </w:r>
      <w:r w:rsidRPr="00466CF3">
        <w:rPr>
          <w:rFonts w:asciiTheme="majorHAnsi" w:hAnsiTheme="majorHAnsi" w:cstheme="majorHAnsi"/>
        </w:rPr>
        <w:t xml:space="preserve"> </w:t>
      </w:r>
      <w:proofErr w:type="gramStart"/>
      <w:r>
        <w:rPr>
          <w:rFonts w:asciiTheme="majorHAnsi" w:hAnsiTheme="majorHAnsi" w:cstheme="majorHAnsi"/>
        </w:rPr>
        <w:t>What</w:t>
      </w:r>
      <w:proofErr w:type="gramEnd"/>
      <w:r>
        <w:rPr>
          <w:rFonts w:asciiTheme="majorHAnsi" w:hAnsiTheme="majorHAnsi" w:cstheme="majorHAnsi"/>
        </w:rPr>
        <w:t xml:space="preserve"> can lawyers do to better aid judges in handling complex patent cases?</w:t>
      </w:r>
    </w:p>
    <w:p w14:paraId="1C609281" w14:textId="77777777" w:rsidR="00CE7291" w:rsidRDefault="00CE7291" w:rsidP="00CE7291">
      <w:pPr>
        <w:pStyle w:val="ListParagraph"/>
        <w:ind w:left="2160"/>
        <w:rPr>
          <w:rFonts w:asciiTheme="majorHAnsi" w:hAnsiTheme="majorHAnsi" w:cstheme="majorHAnsi"/>
        </w:rPr>
      </w:pPr>
    </w:p>
    <w:p w14:paraId="3FE12FD3" w14:textId="7968FEE6" w:rsidR="00CE7291" w:rsidRPr="00595ED8" w:rsidRDefault="00CE7291" w:rsidP="00CE7291">
      <w:pPr>
        <w:pStyle w:val="ListParagraph"/>
        <w:numPr>
          <w:ilvl w:val="1"/>
          <w:numId w:val="40"/>
        </w:numPr>
        <w:rPr>
          <w:rFonts w:asciiTheme="majorHAnsi" w:hAnsiTheme="majorHAnsi" w:cstheme="majorHAnsi"/>
        </w:rPr>
      </w:pPr>
      <w:r w:rsidRPr="00466CF3">
        <w:rPr>
          <w:rFonts w:asciiTheme="majorHAnsi" w:hAnsiTheme="majorHAnsi" w:cstheme="majorHAnsi"/>
          <w:i/>
        </w:rPr>
        <w:t>Potential Question</w:t>
      </w:r>
      <w:r>
        <w:rPr>
          <w:rFonts w:asciiTheme="majorHAnsi" w:hAnsiTheme="majorHAnsi" w:cstheme="majorHAnsi"/>
        </w:rPr>
        <w:t>:</w:t>
      </w:r>
      <w:r w:rsidRPr="00466CF3">
        <w:rPr>
          <w:rFonts w:asciiTheme="majorHAnsi" w:hAnsiTheme="majorHAnsi" w:cstheme="majorHAnsi"/>
        </w:rPr>
        <w:t xml:space="preserve"> </w:t>
      </w:r>
      <w:r>
        <w:rPr>
          <w:rFonts w:asciiTheme="majorHAnsi" w:hAnsiTheme="majorHAnsi" w:cstheme="majorHAnsi"/>
        </w:rPr>
        <w:t xml:space="preserve"> </w:t>
      </w:r>
      <w:r w:rsidR="00FF686F">
        <w:rPr>
          <w:rFonts w:asciiTheme="majorHAnsi" w:hAnsiTheme="majorHAnsi" w:cstheme="majorHAnsi"/>
        </w:rPr>
        <w:t xml:space="preserve">(Josh Thane) </w:t>
      </w:r>
      <w:r>
        <w:t>Are there practices you have seen in other courts</w:t>
      </w:r>
      <w:r w:rsidR="009D217C">
        <w:t xml:space="preserve"> or cases</w:t>
      </w:r>
      <w:r>
        <w:t xml:space="preserve"> that you </w:t>
      </w:r>
      <w:r w:rsidR="009D217C">
        <w:t>think should be considered implementing in</w:t>
      </w:r>
      <w:r>
        <w:t xml:space="preserve"> patent litigation?</w:t>
      </w:r>
    </w:p>
    <w:p w14:paraId="3CF48263" w14:textId="77777777" w:rsidR="00CE7291" w:rsidRPr="00595ED8" w:rsidRDefault="00CE7291" w:rsidP="00CE7291">
      <w:pPr>
        <w:pStyle w:val="ListParagraph"/>
        <w:rPr>
          <w:rFonts w:asciiTheme="majorHAnsi" w:hAnsiTheme="majorHAnsi" w:cstheme="majorHAnsi"/>
        </w:rPr>
      </w:pPr>
    </w:p>
    <w:p w14:paraId="6CED1F7A" w14:textId="6EC5E943" w:rsidR="00CE7291" w:rsidRDefault="00CE7291" w:rsidP="00CE7291">
      <w:pPr>
        <w:pStyle w:val="ListParagraph"/>
        <w:numPr>
          <w:ilvl w:val="1"/>
          <w:numId w:val="40"/>
        </w:numPr>
        <w:rPr>
          <w:rFonts w:asciiTheme="majorHAnsi" w:hAnsiTheme="majorHAnsi" w:cstheme="majorHAnsi"/>
        </w:rPr>
      </w:pPr>
      <w:r w:rsidRPr="00466CF3">
        <w:rPr>
          <w:rFonts w:asciiTheme="majorHAnsi" w:hAnsiTheme="majorHAnsi" w:cstheme="majorHAnsi"/>
          <w:i/>
        </w:rPr>
        <w:t>Potential Question</w:t>
      </w:r>
      <w:r>
        <w:rPr>
          <w:rFonts w:asciiTheme="majorHAnsi" w:hAnsiTheme="majorHAnsi" w:cstheme="majorHAnsi"/>
        </w:rPr>
        <w:t>:</w:t>
      </w:r>
      <w:r w:rsidRPr="00466CF3">
        <w:rPr>
          <w:rFonts w:asciiTheme="majorHAnsi" w:hAnsiTheme="majorHAnsi" w:cstheme="majorHAnsi"/>
        </w:rPr>
        <w:t xml:space="preserve"> </w:t>
      </w:r>
      <w:r>
        <w:rPr>
          <w:rFonts w:asciiTheme="majorHAnsi" w:hAnsiTheme="majorHAnsi" w:cstheme="majorHAnsi"/>
        </w:rPr>
        <w:t xml:space="preserve"> </w:t>
      </w:r>
      <w:r w:rsidR="00FF686F">
        <w:rPr>
          <w:rFonts w:asciiTheme="majorHAnsi" w:hAnsiTheme="majorHAnsi" w:cstheme="majorHAnsi"/>
        </w:rPr>
        <w:t xml:space="preserve">(Josh Thane) </w:t>
      </w:r>
      <w:proofErr w:type="gramStart"/>
      <w:r>
        <w:rPr>
          <w:rFonts w:asciiTheme="majorHAnsi" w:hAnsiTheme="majorHAnsi" w:cstheme="majorHAnsi"/>
        </w:rPr>
        <w:t>Is</w:t>
      </w:r>
      <w:proofErr w:type="gramEnd"/>
      <w:r>
        <w:rPr>
          <w:rFonts w:asciiTheme="majorHAnsi" w:hAnsiTheme="majorHAnsi" w:cstheme="majorHAnsi"/>
        </w:rPr>
        <w:t xml:space="preserve"> there </w:t>
      </w:r>
      <w:r w:rsidRPr="00595ED8">
        <w:rPr>
          <w:rFonts w:asciiTheme="majorHAnsi" w:hAnsiTheme="majorHAnsi" w:cstheme="majorHAnsi"/>
        </w:rPr>
        <w:t>any way to bring more certainty to putting on patent litigation damages cases?</w:t>
      </w:r>
    </w:p>
    <w:p w14:paraId="5FDD8321" w14:textId="77777777" w:rsidR="00CE7291" w:rsidRPr="000557F1" w:rsidRDefault="00CE7291" w:rsidP="00CE7291">
      <w:pPr>
        <w:pStyle w:val="ListParagraph"/>
        <w:rPr>
          <w:rFonts w:asciiTheme="majorHAnsi" w:hAnsiTheme="majorHAnsi" w:cstheme="majorHAnsi"/>
        </w:rPr>
      </w:pPr>
    </w:p>
    <w:p w14:paraId="3F47E845" w14:textId="4A8997C7" w:rsidR="00F90162" w:rsidRPr="00935A66" w:rsidRDefault="00F90162" w:rsidP="00CE7291">
      <w:pPr>
        <w:pStyle w:val="ListParagraph"/>
        <w:numPr>
          <w:ilvl w:val="1"/>
          <w:numId w:val="40"/>
        </w:numPr>
        <w:rPr>
          <w:rFonts w:asciiTheme="majorHAnsi" w:hAnsiTheme="majorHAnsi" w:cstheme="majorHAnsi"/>
        </w:rPr>
      </w:pPr>
      <w:r>
        <w:rPr>
          <w:rFonts w:asciiTheme="majorHAnsi" w:hAnsiTheme="majorHAnsi" w:cstheme="majorHAnsi"/>
          <w:i/>
        </w:rPr>
        <w:t>Potential Question</w:t>
      </w:r>
      <w:r>
        <w:rPr>
          <w:rFonts w:asciiTheme="majorHAnsi" w:hAnsiTheme="majorHAnsi" w:cstheme="majorHAnsi"/>
        </w:rPr>
        <w:t xml:space="preserve">: </w:t>
      </w:r>
      <w:r w:rsidR="00FF686F">
        <w:rPr>
          <w:rFonts w:asciiTheme="majorHAnsi" w:hAnsiTheme="majorHAnsi" w:cstheme="majorHAnsi"/>
        </w:rPr>
        <w:t xml:space="preserve">(Kevin Collins) </w:t>
      </w:r>
      <w:proofErr w:type="gramStart"/>
      <w:r>
        <w:rPr>
          <w:rFonts w:asciiTheme="majorHAnsi" w:hAnsiTheme="majorHAnsi" w:cstheme="majorHAnsi"/>
        </w:rPr>
        <w:t>What</w:t>
      </w:r>
      <w:proofErr w:type="gramEnd"/>
      <w:r>
        <w:rPr>
          <w:rFonts w:asciiTheme="majorHAnsi" w:hAnsiTheme="majorHAnsi" w:cstheme="majorHAnsi"/>
        </w:rPr>
        <w:t xml:space="preserve"> can be done to simplify jury instructions in patent cases?</w:t>
      </w:r>
    </w:p>
    <w:p w14:paraId="302182C1" w14:textId="77777777" w:rsidR="00F90162" w:rsidRPr="00935A66" w:rsidRDefault="00F90162" w:rsidP="00935A66">
      <w:pPr>
        <w:pStyle w:val="ListParagraph"/>
        <w:rPr>
          <w:rFonts w:asciiTheme="majorHAnsi" w:hAnsiTheme="majorHAnsi" w:cstheme="majorHAnsi"/>
          <w:i/>
        </w:rPr>
      </w:pPr>
    </w:p>
    <w:p w14:paraId="6C2F648D" w14:textId="3D96C6CC" w:rsidR="00CE7291" w:rsidRPr="00FF686F" w:rsidRDefault="00CE7291" w:rsidP="00FF686F">
      <w:pPr>
        <w:pStyle w:val="ListParagraph"/>
        <w:numPr>
          <w:ilvl w:val="1"/>
          <w:numId w:val="40"/>
        </w:numPr>
        <w:rPr>
          <w:rFonts w:asciiTheme="majorHAnsi" w:hAnsiTheme="majorHAnsi" w:cstheme="majorHAnsi"/>
        </w:rPr>
      </w:pPr>
      <w:r w:rsidRPr="00466CF3">
        <w:rPr>
          <w:rFonts w:asciiTheme="majorHAnsi" w:hAnsiTheme="majorHAnsi" w:cstheme="majorHAnsi"/>
          <w:i/>
        </w:rPr>
        <w:lastRenderedPageBreak/>
        <w:t>Potential Question</w:t>
      </w:r>
      <w:r>
        <w:rPr>
          <w:rFonts w:asciiTheme="majorHAnsi" w:hAnsiTheme="majorHAnsi" w:cstheme="majorHAnsi"/>
        </w:rPr>
        <w:t>:</w:t>
      </w:r>
      <w:r w:rsidRPr="00466CF3">
        <w:rPr>
          <w:rFonts w:asciiTheme="majorHAnsi" w:hAnsiTheme="majorHAnsi" w:cstheme="majorHAnsi"/>
        </w:rPr>
        <w:t xml:space="preserve"> </w:t>
      </w:r>
      <w:r>
        <w:rPr>
          <w:rFonts w:asciiTheme="majorHAnsi" w:hAnsiTheme="majorHAnsi" w:cstheme="majorHAnsi"/>
        </w:rPr>
        <w:t xml:space="preserve"> Is there </w:t>
      </w:r>
      <w:r w:rsidRPr="00595ED8">
        <w:rPr>
          <w:rFonts w:asciiTheme="majorHAnsi" w:hAnsiTheme="majorHAnsi" w:cstheme="majorHAnsi"/>
        </w:rPr>
        <w:t>any</w:t>
      </w:r>
      <w:r>
        <w:rPr>
          <w:rFonts w:asciiTheme="majorHAnsi" w:hAnsiTheme="majorHAnsi" w:cstheme="majorHAnsi"/>
        </w:rPr>
        <w:t>thing else the judges w</w:t>
      </w:r>
      <w:r w:rsidR="00FF686F">
        <w:rPr>
          <w:rFonts w:asciiTheme="majorHAnsi" w:hAnsiTheme="majorHAnsi" w:cstheme="majorHAnsi"/>
        </w:rPr>
        <w:t xml:space="preserve">ant to say to an audience of trial lawyers that try these cases about what they should be thinking about when they try these </w:t>
      </w:r>
      <w:r w:rsidR="009D217C">
        <w:rPr>
          <w:rFonts w:asciiTheme="majorHAnsi" w:hAnsiTheme="majorHAnsi" w:cstheme="majorHAnsi"/>
        </w:rPr>
        <w:t xml:space="preserve">complex </w:t>
      </w:r>
      <w:r w:rsidR="00FF686F">
        <w:rPr>
          <w:rFonts w:asciiTheme="majorHAnsi" w:hAnsiTheme="majorHAnsi" w:cstheme="majorHAnsi"/>
        </w:rPr>
        <w:t>cases</w:t>
      </w:r>
      <w:r w:rsidRPr="00595ED8">
        <w:rPr>
          <w:rFonts w:asciiTheme="majorHAnsi" w:hAnsiTheme="majorHAnsi" w:cstheme="majorHAnsi"/>
        </w:rPr>
        <w:t>?</w:t>
      </w:r>
    </w:p>
    <w:p w14:paraId="39B5D6C9" w14:textId="77777777" w:rsidR="00CE7291" w:rsidRDefault="00CE7291" w:rsidP="00935A66">
      <w:pPr>
        <w:pStyle w:val="ListParagraph"/>
        <w:ind w:left="1440"/>
        <w:rPr>
          <w:rFonts w:asciiTheme="majorHAnsi" w:hAnsiTheme="majorHAnsi" w:cstheme="majorHAnsi"/>
        </w:rPr>
      </w:pPr>
    </w:p>
    <w:p w14:paraId="2905D829" w14:textId="77777777" w:rsidR="00FF686F" w:rsidRPr="004047ED" w:rsidRDefault="00FF686F" w:rsidP="00FF686F">
      <w:pPr>
        <w:pStyle w:val="ListParagraph"/>
        <w:numPr>
          <w:ilvl w:val="0"/>
          <w:numId w:val="40"/>
        </w:numPr>
        <w:rPr>
          <w:rFonts w:asciiTheme="majorHAnsi" w:hAnsiTheme="majorHAnsi" w:cstheme="majorHAnsi"/>
          <w:b/>
        </w:rPr>
      </w:pPr>
      <w:r w:rsidRPr="004047ED">
        <w:rPr>
          <w:rFonts w:asciiTheme="majorHAnsi" w:hAnsiTheme="majorHAnsi" w:cstheme="majorHAnsi"/>
          <w:b/>
        </w:rPr>
        <w:t xml:space="preserve">Motions for Summary Judgment </w:t>
      </w:r>
      <w:r>
        <w:rPr>
          <w:rFonts w:asciiTheme="majorHAnsi" w:hAnsiTheme="majorHAnsi" w:cstheme="majorHAnsi"/>
          <w:b/>
        </w:rPr>
        <w:t>(Josh Thane)</w:t>
      </w:r>
    </w:p>
    <w:p w14:paraId="60425D08" w14:textId="77777777" w:rsidR="00FF686F" w:rsidRPr="0078217E" w:rsidRDefault="00FF686F" w:rsidP="00FF686F">
      <w:pPr>
        <w:rPr>
          <w:rFonts w:asciiTheme="majorHAnsi" w:hAnsiTheme="majorHAnsi" w:cstheme="majorHAnsi"/>
        </w:rPr>
      </w:pPr>
    </w:p>
    <w:p w14:paraId="6CF7E853" w14:textId="77777777" w:rsidR="00FF686F" w:rsidRDefault="00FF686F" w:rsidP="00FF686F">
      <w:pPr>
        <w:pStyle w:val="ListParagraph"/>
        <w:numPr>
          <w:ilvl w:val="1"/>
          <w:numId w:val="40"/>
        </w:numPr>
        <w:rPr>
          <w:rFonts w:asciiTheme="majorHAnsi" w:hAnsiTheme="majorHAnsi" w:cstheme="majorHAnsi"/>
          <w:u w:val="single"/>
        </w:rPr>
      </w:pPr>
      <w:r>
        <w:rPr>
          <w:rFonts w:asciiTheme="majorHAnsi" w:hAnsiTheme="majorHAnsi" w:cstheme="majorHAnsi"/>
          <w:u w:val="single"/>
        </w:rPr>
        <w:t>Ranking MSJs</w:t>
      </w:r>
    </w:p>
    <w:p w14:paraId="7D98B1FB" w14:textId="77777777" w:rsidR="00FF686F" w:rsidRPr="00466CF3" w:rsidRDefault="00FF686F" w:rsidP="00FF686F">
      <w:pPr>
        <w:pStyle w:val="ListParagraph"/>
        <w:ind w:left="1440"/>
        <w:rPr>
          <w:rFonts w:asciiTheme="majorHAnsi" w:hAnsiTheme="majorHAnsi" w:cstheme="majorHAnsi"/>
          <w:u w:val="single"/>
        </w:rPr>
      </w:pPr>
    </w:p>
    <w:p w14:paraId="65F0F7DF" w14:textId="77777777" w:rsidR="00FF686F" w:rsidRDefault="00FF686F" w:rsidP="00FF686F">
      <w:pPr>
        <w:pStyle w:val="ListParagraph"/>
        <w:numPr>
          <w:ilvl w:val="2"/>
          <w:numId w:val="40"/>
        </w:numPr>
        <w:rPr>
          <w:rFonts w:asciiTheme="majorHAnsi" w:hAnsiTheme="majorHAnsi" w:cstheme="majorHAnsi"/>
        </w:rPr>
      </w:pPr>
      <w:r w:rsidRPr="00466CF3">
        <w:rPr>
          <w:rFonts w:asciiTheme="majorHAnsi" w:hAnsiTheme="majorHAnsi" w:cstheme="majorHAnsi"/>
          <w:i/>
        </w:rPr>
        <w:t>Background</w:t>
      </w:r>
      <w:r>
        <w:rPr>
          <w:rFonts w:asciiTheme="majorHAnsi" w:hAnsiTheme="majorHAnsi" w:cstheme="majorHAnsi"/>
        </w:rPr>
        <w:t xml:space="preserve">:  </w:t>
      </w:r>
      <w:r w:rsidRPr="00CB4DFE">
        <w:rPr>
          <w:rFonts w:asciiTheme="majorHAnsi" w:hAnsiTheme="majorHAnsi" w:cstheme="majorHAnsi"/>
        </w:rPr>
        <w:t xml:space="preserve">In April 2021, Chief Judge Connolly issued a Standing Order for Summary Judgment Practice in Patent Cases requiring that parties who file more than one summary judgment motion “number each motion to make clear the order the party wishes the Court to consider the motions in question.”  </w:t>
      </w:r>
      <w:r>
        <w:t>The Standing Order states that the “</w:t>
      </w:r>
      <w:r w:rsidRPr="00CB4DFE">
        <w:rPr>
          <w:rFonts w:asciiTheme="majorHAnsi" w:hAnsiTheme="majorHAnsi" w:cstheme="majorHAnsi"/>
        </w:rPr>
        <w:t>Court will review the party’s summary judgment motions in the order designated” and if a motion is denied “barring exceptional reasons . . . the Court will not review any further summary judgment motions filed by the party.”</w:t>
      </w:r>
    </w:p>
    <w:p w14:paraId="6862126E" w14:textId="77777777" w:rsidR="00FF686F" w:rsidRDefault="00FF686F" w:rsidP="00FF686F">
      <w:pPr>
        <w:pStyle w:val="ListParagraph"/>
        <w:ind w:left="2160"/>
        <w:rPr>
          <w:rFonts w:asciiTheme="majorHAnsi" w:hAnsiTheme="majorHAnsi" w:cstheme="majorHAnsi"/>
        </w:rPr>
      </w:pPr>
    </w:p>
    <w:p w14:paraId="1569FFCC" w14:textId="77777777" w:rsidR="00FF686F" w:rsidRDefault="00FF686F" w:rsidP="00FF686F">
      <w:pPr>
        <w:pStyle w:val="ListParagraph"/>
        <w:numPr>
          <w:ilvl w:val="2"/>
          <w:numId w:val="40"/>
        </w:numPr>
        <w:rPr>
          <w:rFonts w:asciiTheme="majorHAnsi" w:hAnsiTheme="majorHAnsi" w:cstheme="majorHAnsi"/>
        </w:rPr>
      </w:pPr>
      <w:r w:rsidRPr="00466CF3">
        <w:rPr>
          <w:rFonts w:asciiTheme="majorHAnsi" w:hAnsiTheme="majorHAnsi" w:cstheme="majorHAnsi"/>
          <w:i/>
        </w:rPr>
        <w:t>Potential Question</w:t>
      </w:r>
      <w:r>
        <w:rPr>
          <w:rFonts w:asciiTheme="majorHAnsi" w:hAnsiTheme="majorHAnsi" w:cstheme="majorHAnsi"/>
        </w:rPr>
        <w:t>:</w:t>
      </w:r>
      <w:r w:rsidRPr="00466CF3">
        <w:rPr>
          <w:rFonts w:asciiTheme="majorHAnsi" w:hAnsiTheme="majorHAnsi" w:cstheme="majorHAnsi"/>
        </w:rPr>
        <w:t xml:space="preserve"> </w:t>
      </w:r>
      <w:r>
        <w:rPr>
          <w:rFonts w:asciiTheme="majorHAnsi" w:hAnsiTheme="majorHAnsi" w:cstheme="majorHAnsi"/>
        </w:rPr>
        <w:t xml:space="preserve"> </w:t>
      </w:r>
      <w:r w:rsidRPr="00F85EAA">
        <w:rPr>
          <w:rFonts w:asciiTheme="majorHAnsi" w:hAnsiTheme="majorHAnsi" w:cstheme="majorHAnsi"/>
          <w:b/>
        </w:rPr>
        <w:t>Judge Connolly</w:t>
      </w:r>
      <w:r>
        <w:rPr>
          <w:rFonts w:asciiTheme="majorHAnsi" w:hAnsiTheme="majorHAnsi" w:cstheme="majorHAnsi"/>
        </w:rPr>
        <w:t>, y</w:t>
      </w:r>
      <w:r w:rsidRPr="00CB4DFE">
        <w:rPr>
          <w:rFonts w:asciiTheme="majorHAnsi" w:hAnsiTheme="majorHAnsi" w:cstheme="majorHAnsi"/>
        </w:rPr>
        <w:t>our order explains the rationale for this approach—</w:t>
      </w:r>
      <w:r w:rsidRPr="003D23EE">
        <w:rPr>
          <w:rFonts w:asciiTheme="majorHAnsi" w:hAnsiTheme="majorHAnsi" w:cstheme="majorHAnsi"/>
          <w:i/>
        </w:rPr>
        <w:t>i.e</w:t>
      </w:r>
      <w:r>
        <w:rPr>
          <w:rFonts w:asciiTheme="majorHAnsi" w:hAnsiTheme="majorHAnsi" w:cstheme="majorHAnsi"/>
        </w:rPr>
        <w:t>.,</w:t>
      </w:r>
      <w:r w:rsidRPr="00CB4DFE">
        <w:rPr>
          <w:rFonts w:asciiTheme="majorHAnsi" w:hAnsiTheme="majorHAnsi" w:cstheme="majorHAnsi"/>
        </w:rPr>
        <w:t xml:space="preserve"> efficiency and to curb the “proliferation of meritless summary judgment motions in patent cases.”  What kind of results are you seeing through this approach and would you recommend that other courts adopt similar rules?  </w:t>
      </w:r>
    </w:p>
    <w:p w14:paraId="1E86F5ED" w14:textId="77777777" w:rsidR="00FF686F" w:rsidRPr="0078217E" w:rsidRDefault="00FF686F" w:rsidP="00FF686F">
      <w:pPr>
        <w:rPr>
          <w:rFonts w:asciiTheme="majorHAnsi" w:hAnsiTheme="majorHAnsi" w:cstheme="majorHAnsi"/>
        </w:rPr>
      </w:pPr>
    </w:p>
    <w:p w14:paraId="3A953D25" w14:textId="77777777" w:rsidR="00FF686F" w:rsidRDefault="00FF686F" w:rsidP="00FF686F">
      <w:pPr>
        <w:pStyle w:val="ListParagraph"/>
        <w:numPr>
          <w:ilvl w:val="1"/>
          <w:numId w:val="40"/>
        </w:numPr>
        <w:rPr>
          <w:rFonts w:asciiTheme="majorHAnsi" w:hAnsiTheme="majorHAnsi" w:cstheme="majorHAnsi"/>
          <w:u w:val="single"/>
        </w:rPr>
      </w:pPr>
      <w:r>
        <w:rPr>
          <w:rFonts w:asciiTheme="majorHAnsi" w:hAnsiTheme="majorHAnsi" w:cstheme="majorHAnsi"/>
          <w:u w:val="single"/>
        </w:rPr>
        <w:t>Expectations of success in MSJs</w:t>
      </w:r>
    </w:p>
    <w:p w14:paraId="0A578930" w14:textId="77777777" w:rsidR="00FF686F" w:rsidRPr="00466CF3" w:rsidRDefault="00FF686F" w:rsidP="00FF686F">
      <w:pPr>
        <w:pStyle w:val="ListParagraph"/>
        <w:ind w:left="1440"/>
        <w:rPr>
          <w:rFonts w:asciiTheme="majorHAnsi" w:hAnsiTheme="majorHAnsi" w:cstheme="majorHAnsi"/>
          <w:u w:val="single"/>
        </w:rPr>
      </w:pPr>
    </w:p>
    <w:p w14:paraId="5B36BA9F" w14:textId="77777777" w:rsidR="00FF686F" w:rsidRPr="006222D5" w:rsidRDefault="00FF686F" w:rsidP="00FF686F">
      <w:pPr>
        <w:pStyle w:val="ListParagraph"/>
        <w:numPr>
          <w:ilvl w:val="2"/>
          <w:numId w:val="40"/>
        </w:numPr>
        <w:rPr>
          <w:rFonts w:asciiTheme="majorHAnsi" w:hAnsiTheme="majorHAnsi" w:cstheme="majorHAnsi"/>
        </w:rPr>
      </w:pPr>
      <w:r w:rsidRPr="00466CF3">
        <w:rPr>
          <w:rFonts w:asciiTheme="majorHAnsi" w:hAnsiTheme="majorHAnsi" w:cstheme="majorHAnsi"/>
          <w:i/>
        </w:rPr>
        <w:t>Background</w:t>
      </w:r>
      <w:r>
        <w:rPr>
          <w:rFonts w:asciiTheme="majorHAnsi" w:hAnsiTheme="majorHAnsi" w:cstheme="majorHAnsi"/>
        </w:rPr>
        <w:t xml:space="preserve">:  </w:t>
      </w:r>
      <w:r w:rsidRPr="00CB4DFE">
        <w:rPr>
          <w:rFonts w:asciiTheme="majorHAnsi" w:hAnsiTheme="majorHAnsi" w:cstheme="majorHAnsi"/>
        </w:rPr>
        <w:t>Judge Connolly’s Standing Order for Summary Judgment Practice in Patent Cases reads: “[a] wise judge who once sat on this Court was fond of saying that winning summary judgment in a patent case is like hitting a hole in one,” and the standing order notes that “the odds of hitting a hol</w:t>
      </w:r>
      <w:r w:rsidRPr="006222D5">
        <w:rPr>
          <w:rFonts w:asciiTheme="majorHAnsi" w:hAnsiTheme="majorHAnsi" w:cstheme="majorHAnsi"/>
        </w:rPr>
        <w:t>e in one are 12,500 to 1.”</w:t>
      </w:r>
    </w:p>
    <w:p w14:paraId="5DA24AD7" w14:textId="77777777" w:rsidR="00FF686F" w:rsidRPr="00C631FC" w:rsidRDefault="00FF686F" w:rsidP="00FF686F">
      <w:pPr>
        <w:pStyle w:val="ListParagraph"/>
        <w:ind w:left="2160"/>
        <w:rPr>
          <w:rFonts w:asciiTheme="majorHAnsi" w:hAnsiTheme="majorHAnsi" w:cstheme="majorHAnsi"/>
        </w:rPr>
      </w:pPr>
    </w:p>
    <w:p w14:paraId="361DF538" w14:textId="77777777" w:rsidR="00FF686F" w:rsidRPr="006222D5" w:rsidRDefault="00FF686F" w:rsidP="00FF686F">
      <w:pPr>
        <w:pStyle w:val="ListParagraph"/>
        <w:numPr>
          <w:ilvl w:val="2"/>
          <w:numId w:val="40"/>
        </w:numPr>
        <w:rPr>
          <w:rFonts w:asciiTheme="majorHAnsi" w:hAnsiTheme="majorHAnsi" w:cstheme="majorHAnsi"/>
        </w:rPr>
      </w:pPr>
      <w:r w:rsidRPr="00935A66">
        <w:rPr>
          <w:rFonts w:asciiTheme="majorHAnsi" w:hAnsiTheme="majorHAnsi" w:cstheme="majorHAnsi"/>
          <w:i/>
        </w:rPr>
        <w:t>Potential Question</w:t>
      </w:r>
      <w:r w:rsidRPr="00935A66">
        <w:rPr>
          <w:rFonts w:asciiTheme="majorHAnsi" w:hAnsiTheme="majorHAnsi" w:cstheme="majorHAnsi"/>
        </w:rPr>
        <w:t xml:space="preserve">:  </w:t>
      </w:r>
      <w:r w:rsidRPr="00935A66">
        <w:rPr>
          <w:rFonts w:asciiTheme="majorHAnsi" w:hAnsiTheme="majorHAnsi" w:cstheme="majorHAnsi"/>
          <w:b/>
        </w:rPr>
        <w:t>Judge Mazzant</w:t>
      </w:r>
      <w:r w:rsidRPr="00935A66">
        <w:rPr>
          <w:rFonts w:asciiTheme="majorHAnsi" w:hAnsiTheme="majorHAnsi" w:cstheme="majorHAnsi"/>
        </w:rPr>
        <w:t>, do you view MSJs as a worthwhile exercise in patent cases and a judicious use of judicial resources?</w:t>
      </w:r>
    </w:p>
    <w:p w14:paraId="36553A63" w14:textId="77777777" w:rsidR="00FF686F" w:rsidRPr="00935A66" w:rsidRDefault="00FF686F" w:rsidP="00FF686F">
      <w:pPr>
        <w:pStyle w:val="ListParagraph"/>
        <w:rPr>
          <w:rFonts w:asciiTheme="majorHAnsi" w:hAnsiTheme="majorHAnsi" w:cstheme="majorHAnsi"/>
        </w:rPr>
      </w:pPr>
    </w:p>
    <w:p w14:paraId="7EADC805" w14:textId="77777777" w:rsidR="00FF686F" w:rsidRPr="00935A66" w:rsidRDefault="00FF686F" w:rsidP="00FF686F">
      <w:pPr>
        <w:pStyle w:val="ListParagraph"/>
        <w:numPr>
          <w:ilvl w:val="3"/>
          <w:numId w:val="40"/>
        </w:numPr>
        <w:rPr>
          <w:rFonts w:asciiTheme="majorHAnsi" w:hAnsiTheme="majorHAnsi" w:cstheme="majorHAnsi"/>
        </w:rPr>
      </w:pPr>
      <w:r w:rsidRPr="00935A66">
        <w:rPr>
          <w:rFonts w:asciiTheme="majorHAnsi" w:hAnsiTheme="majorHAnsi" w:cstheme="majorHAnsi"/>
          <w:i/>
        </w:rPr>
        <w:t>Potential Follow-Up Question</w:t>
      </w:r>
      <w:r w:rsidRPr="00935A66">
        <w:rPr>
          <w:rFonts w:asciiTheme="majorHAnsi" w:hAnsiTheme="majorHAnsi" w:cstheme="majorHAnsi"/>
        </w:rPr>
        <w:t>: Do any of the other judges have different views?</w:t>
      </w:r>
    </w:p>
    <w:p w14:paraId="6BDF62C5" w14:textId="77777777" w:rsidR="00FF686F" w:rsidRPr="006222D5" w:rsidRDefault="00FF686F" w:rsidP="00FF686F">
      <w:pPr>
        <w:pStyle w:val="ListParagraph"/>
        <w:rPr>
          <w:rFonts w:asciiTheme="majorHAnsi" w:hAnsiTheme="majorHAnsi" w:cstheme="majorHAnsi"/>
        </w:rPr>
      </w:pPr>
    </w:p>
    <w:p w14:paraId="73DD229D" w14:textId="63893E5C" w:rsidR="00FF686F" w:rsidRDefault="00FF686F" w:rsidP="00FF686F">
      <w:pPr>
        <w:pStyle w:val="ListParagraph"/>
        <w:numPr>
          <w:ilvl w:val="2"/>
          <w:numId w:val="40"/>
        </w:numPr>
        <w:spacing w:after="240"/>
        <w:contextualSpacing w:val="0"/>
        <w:jc w:val="both"/>
        <w:rPr>
          <w:rFonts w:asciiTheme="majorHAnsi" w:hAnsiTheme="majorHAnsi" w:cstheme="majorHAnsi"/>
        </w:rPr>
      </w:pPr>
      <w:r w:rsidRPr="00C631FC">
        <w:rPr>
          <w:rFonts w:asciiTheme="majorHAnsi" w:hAnsiTheme="majorHAnsi" w:cstheme="majorHAnsi"/>
          <w:i/>
        </w:rPr>
        <w:t>Potential Question</w:t>
      </w:r>
      <w:r w:rsidRPr="00C631FC">
        <w:rPr>
          <w:rFonts w:asciiTheme="majorHAnsi" w:hAnsiTheme="majorHAnsi" w:cstheme="majorHAnsi"/>
        </w:rPr>
        <w:t>:  The national data sourced from Docket Navigator, interestingly, doesn’t quite reflect th</w:t>
      </w:r>
      <w:r w:rsidRPr="00CB4DFE">
        <w:rPr>
          <w:rFonts w:asciiTheme="majorHAnsi" w:hAnsiTheme="majorHAnsi" w:cstheme="majorHAnsi"/>
        </w:rPr>
        <w:t xml:space="preserve">e </w:t>
      </w:r>
      <w:r>
        <w:rPr>
          <w:rFonts w:asciiTheme="majorHAnsi" w:hAnsiTheme="majorHAnsi" w:cstheme="majorHAnsi"/>
        </w:rPr>
        <w:t>“</w:t>
      </w:r>
      <w:r w:rsidRPr="00CB4DFE">
        <w:rPr>
          <w:rFonts w:asciiTheme="majorHAnsi" w:hAnsiTheme="majorHAnsi" w:cstheme="majorHAnsi"/>
        </w:rPr>
        <w:t>hole-in-one</w:t>
      </w:r>
      <w:r>
        <w:rPr>
          <w:rFonts w:asciiTheme="majorHAnsi" w:hAnsiTheme="majorHAnsi" w:cstheme="majorHAnsi"/>
        </w:rPr>
        <w:t>”</w:t>
      </w:r>
      <w:r w:rsidRPr="00CB4DFE">
        <w:rPr>
          <w:rFonts w:asciiTheme="majorHAnsi" w:hAnsiTheme="majorHAnsi" w:cstheme="majorHAnsi"/>
        </w:rPr>
        <w:t xml:space="preserve"> analogy, </w:t>
      </w:r>
      <w:r>
        <w:rPr>
          <w:rFonts w:asciiTheme="majorHAnsi" w:hAnsiTheme="majorHAnsi" w:cstheme="majorHAnsi"/>
        </w:rPr>
        <w:t xml:space="preserve">and instead </w:t>
      </w:r>
      <w:r w:rsidRPr="00CB4DFE">
        <w:rPr>
          <w:rFonts w:asciiTheme="majorHAnsi" w:hAnsiTheme="majorHAnsi" w:cstheme="majorHAnsi"/>
        </w:rPr>
        <w:t xml:space="preserve">suggest that while accused infringers are over twice as likely as patentees to move for summary judgment, for both sides, at least some relief is obtained </w:t>
      </w:r>
      <w:r>
        <w:rPr>
          <w:rFonts w:asciiTheme="majorHAnsi" w:hAnsiTheme="majorHAnsi" w:cstheme="majorHAnsi"/>
        </w:rPr>
        <w:t xml:space="preserve">about </w:t>
      </w:r>
      <w:r w:rsidRPr="00CB4DFE">
        <w:rPr>
          <w:rFonts w:asciiTheme="majorHAnsi" w:hAnsiTheme="majorHAnsi" w:cstheme="majorHAnsi"/>
        </w:rPr>
        <w:t xml:space="preserve">40% of </w:t>
      </w:r>
      <w:r>
        <w:rPr>
          <w:rFonts w:asciiTheme="majorHAnsi" w:hAnsiTheme="majorHAnsi" w:cstheme="majorHAnsi"/>
        </w:rPr>
        <w:t>the time</w:t>
      </w:r>
      <w:r w:rsidRPr="00CB4DFE">
        <w:rPr>
          <w:rFonts w:asciiTheme="majorHAnsi" w:hAnsiTheme="majorHAnsi" w:cstheme="majorHAnsi"/>
        </w:rPr>
        <w:t xml:space="preserve">.  </w:t>
      </w:r>
      <w:r w:rsidRPr="00F85EAA">
        <w:rPr>
          <w:rFonts w:asciiTheme="majorHAnsi" w:hAnsiTheme="majorHAnsi" w:cstheme="majorHAnsi"/>
          <w:b/>
        </w:rPr>
        <w:t>Judge Andrews</w:t>
      </w:r>
      <w:r w:rsidRPr="00CB4DFE">
        <w:rPr>
          <w:rFonts w:asciiTheme="majorHAnsi" w:hAnsiTheme="majorHAnsi" w:cstheme="majorHAnsi"/>
        </w:rPr>
        <w:t xml:space="preserve">:  </w:t>
      </w:r>
      <w:r>
        <w:rPr>
          <w:rFonts w:asciiTheme="majorHAnsi" w:hAnsiTheme="majorHAnsi" w:cstheme="majorHAnsi"/>
        </w:rPr>
        <w:t>What is your approach to MSJs</w:t>
      </w:r>
      <w:r w:rsidRPr="00CB4DFE">
        <w:rPr>
          <w:rFonts w:asciiTheme="majorHAnsi" w:hAnsiTheme="majorHAnsi" w:cstheme="majorHAnsi"/>
        </w:rPr>
        <w:t xml:space="preserve">?  </w:t>
      </w:r>
    </w:p>
    <w:p w14:paraId="232A3BC5" w14:textId="2E3CE6B3" w:rsidR="00B16C11" w:rsidRDefault="00B16C11" w:rsidP="00B16C11">
      <w:pPr>
        <w:spacing w:after="240"/>
        <w:jc w:val="both"/>
        <w:rPr>
          <w:rFonts w:asciiTheme="majorHAnsi" w:hAnsiTheme="majorHAnsi" w:cstheme="majorHAnsi"/>
        </w:rPr>
      </w:pPr>
    </w:p>
    <w:p w14:paraId="716B1DB7" w14:textId="77777777" w:rsidR="00B16C11" w:rsidRPr="00B16C11" w:rsidRDefault="00B16C11" w:rsidP="00B16C11">
      <w:pPr>
        <w:spacing w:after="240"/>
        <w:jc w:val="both"/>
        <w:rPr>
          <w:rFonts w:asciiTheme="majorHAnsi" w:hAnsiTheme="majorHAnsi" w:cstheme="majorHAnsi"/>
        </w:rPr>
      </w:pPr>
    </w:p>
    <w:p w14:paraId="0E250153" w14:textId="2C22639E" w:rsidR="004D4CC9" w:rsidRPr="00CB4DFE" w:rsidRDefault="004D4CC9" w:rsidP="004D4CC9">
      <w:pPr>
        <w:pStyle w:val="ListParagraph"/>
        <w:numPr>
          <w:ilvl w:val="0"/>
          <w:numId w:val="40"/>
        </w:numPr>
        <w:spacing w:after="240"/>
        <w:contextualSpacing w:val="0"/>
        <w:rPr>
          <w:rFonts w:asciiTheme="majorHAnsi" w:hAnsiTheme="majorHAnsi" w:cstheme="majorHAnsi"/>
          <w:b/>
        </w:rPr>
      </w:pPr>
      <w:r w:rsidRPr="00C1661A">
        <w:rPr>
          <w:rFonts w:asciiTheme="majorHAnsi" w:hAnsiTheme="majorHAnsi" w:cstheme="majorHAnsi"/>
          <w:b/>
        </w:rPr>
        <w:lastRenderedPageBreak/>
        <w:t>Standing And Litigation Funding Issues</w:t>
      </w:r>
      <w:r w:rsidR="00E97643">
        <w:rPr>
          <w:rFonts w:asciiTheme="majorHAnsi" w:hAnsiTheme="majorHAnsi" w:cstheme="majorHAnsi"/>
          <w:b/>
        </w:rPr>
        <w:t xml:space="preserve"> (Josh Thane</w:t>
      </w:r>
      <w:r w:rsidR="00F13BDD">
        <w:rPr>
          <w:rFonts w:asciiTheme="majorHAnsi" w:hAnsiTheme="majorHAnsi" w:cstheme="majorHAnsi"/>
          <w:b/>
        </w:rPr>
        <w:t>)</w:t>
      </w:r>
    </w:p>
    <w:p w14:paraId="7AC7C285" w14:textId="7116CA3C" w:rsidR="00EA58D8" w:rsidRDefault="00EA58D8" w:rsidP="00EA58D8">
      <w:pPr>
        <w:pStyle w:val="ListParagraph"/>
        <w:numPr>
          <w:ilvl w:val="1"/>
          <w:numId w:val="40"/>
        </w:numPr>
        <w:rPr>
          <w:rFonts w:asciiTheme="majorHAnsi" w:hAnsiTheme="majorHAnsi" w:cstheme="majorHAnsi"/>
        </w:rPr>
      </w:pPr>
      <w:r w:rsidRPr="00466CF3">
        <w:rPr>
          <w:rFonts w:asciiTheme="majorHAnsi" w:hAnsiTheme="majorHAnsi" w:cstheme="majorHAnsi"/>
          <w:i/>
        </w:rPr>
        <w:t>Background</w:t>
      </w:r>
      <w:r w:rsidRPr="00466CF3">
        <w:rPr>
          <w:rFonts w:asciiTheme="majorHAnsi" w:hAnsiTheme="majorHAnsi" w:cstheme="majorHAnsi"/>
        </w:rPr>
        <w:t xml:space="preserve">: </w:t>
      </w:r>
      <w:r>
        <w:rPr>
          <w:rFonts w:asciiTheme="majorHAnsi" w:hAnsiTheme="majorHAnsi" w:cstheme="majorHAnsi"/>
        </w:rPr>
        <w:t xml:space="preserve"> Judge Connolly has issued a standing order </w:t>
      </w:r>
      <w:r w:rsidRPr="00636CE8">
        <w:rPr>
          <w:rFonts w:asciiTheme="majorHAnsi" w:hAnsiTheme="majorHAnsi" w:cstheme="majorHAnsi"/>
        </w:rPr>
        <w:t>requiring disclosure of third-party funding arran</w:t>
      </w:r>
      <w:r>
        <w:rPr>
          <w:rFonts w:asciiTheme="majorHAnsi" w:hAnsiTheme="majorHAnsi" w:cstheme="majorHAnsi"/>
        </w:rPr>
        <w:t xml:space="preserve">gements at outset of litigation, while </w:t>
      </w:r>
      <w:r w:rsidR="00CE70C4">
        <w:rPr>
          <w:rFonts w:asciiTheme="majorHAnsi" w:hAnsiTheme="majorHAnsi" w:cstheme="majorHAnsi"/>
        </w:rPr>
        <w:t>some courts</w:t>
      </w:r>
      <w:r>
        <w:rPr>
          <w:rFonts w:asciiTheme="majorHAnsi" w:hAnsiTheme="majorHAnsi" w:cstheme="majorHAnsi"/>
        </w:rPr>
        <w:t xml:space="preserve"> not only do not require such a disclosure, but have denied motions to compel discovery into litigation funding.</w:t>
      </w:r>
    </w:p>
    <w:p w14:paraId="5C7E60E0" w14:textId="77777777" w:rsidR="00EA58D8" w:rsidRPr="00466CF3" w:rsidRDefault="00EA58D8" w:rsidP="00EA58D8">
      <w:pPr>
        <w:pStyle w:val="ListParagraph"/>
        <w:ind w:left="2160"/>
        <w:rPr>
          <w:rFonts w:asciiTheme="majorHAnsi" w:hAnsiTheme="majorHAnsi" w:cstheme="majorHAnsi"/>
        </w:rPr>
      </w:pPr>
    </w:p>
    <w:p w14:paraId="21AD0DCC" w14:textId="2E77AF81" w:rsidR="00EA58D8" w:rsidRPr="00EA58D8" w:rsidRDefault="00EA58D8" w:rsidP="00EA58D8">
      <w:pPr>
        <w:pStyle w:val="ListParagraph"/>
        <w:numPr>
          <w:ilvl w:val="1"/>
          <w:numId w:val="40"/>
        </w:numPr>
        <w:spacing w:after="240"/>
        <w:contextualSpacing w:val="0"/>
        <w:rPr>
          <w:rFonts w:asciiTheme="majorHAnsi" w:hAnsiTheme="majorHAnsi" w:cstheme="majorHAnsi"/>
        </w:rPr>
      </w:pPr>
      <w:r w:rsidRPr="00466CF3">
        <w:rPr>
          <w:rFonts w:asciiTheme="majorHAnsi" w:hAnsiTheme="majorHAnsi" w:cstheme="majorHAnsi"/>
          <w:i/>
        </w:rPr>
        <w:t>Potential Question</w:t>
      </w:r>
      <w:r w:rsidRPr="00466CF3">
        <w:rPr>
          <w:rFonts w:asciiTheme="majorHAnsi" w:hAnsiTheme="majorHAnsi" w:cstheme="majorHAnsi"/>
        </w:rPr>
        <w:t xml:space="preserve">:  </w:t>
      </w:r>
      <w:r w:rsidRPr="00ED0035">
        <w:rPr>
          <w:rFonts w:asciiTheme="majorHAnsi" w:hAnsiTheme="majorHAnsi" w:cstheme="majorHAnsi"/>
          <w:b/>
        </w:rPr>
        <w:t>Judge Connolly</w:t>
      </w:r>
      <w:r w:rsidR="008B1E39">
        <w:rPr>
          <w:rFonts w:asciiTheme="majorHAnsi" w:hAnsiTheme="majorHAnsi" w:cstheme="majorHAnsi"/>
          <w:b/>
        </w:rPr>
        <w:t>:</w:t>
      </w:r>
      <w:r w:rsidR="008B1E39">
        <w:rPr>
          <w:rFonts w:asciiTheme="majorHAnsi" w:hAnsiTheme="majorHAnsi" w:cstheme="majorHAnsi"/>
        </w:rPr>
        <w:t xml:space="preserve"> Why </w:t>
      </w:r>
      <w:r>
        <w:rPr>
          <w:rFonts w:asciiTheme="majorHAnsi" w:hAnsiTheme="majorHAnsi" w:cstheme="majorHAnsi"/>
        </w:rPr>
        <w:t>did you decide to issue your standing order relating to the disclosure of third-party funding of litigation, and how has it been working so far?</w:t>
      </w:r>
    </w:p>
    <w:p w14:paraId="40348D68" w14:textId="07569FF7" w:rsidR="00EA58D8" w:rsidRDefault="00EA58D8" w:rsidP="004D4CC9">
      <w:pPr>
        <w:pStyle w:val="ListParagraph"/>
        <w:numPr>
          <w:ilvl w:val="1"/>
          <w:numId w:val="40"/>
        </w:numPr>
        <w:spacing w:after="240"/>
        <w:contextualSpacing w:val="0"/>
        <w:rPr>
          <w:rFonts w:asciiTheme="majorHAnsi" w:hAnsiTheme="majorHAnsi" w:cstheme="majorHAnsi"/>
        </w:rPr>
      </w:pPr>
      <w:r w:rsidRPr="00466CF3">
        <w:rPr>
          <w:rFonts w:asciiTheme="majorHAnsi" w:hAnsiTheme="majorHAnsi" w:cstheme="majorHAnsi"/>
          <w:i/>
        </w:rPr>
        <w:t>Potential Question</w:t>
      </w:r>
      <w:r w:rsidRPr="00466CF3">
        <w:rPr>
          <w:rFonts w:asciiTheme="majorHAnsi" w:hAnsiTheme="majorHAnsi" w:cstheme="majorHAnsi"/>
        </w:rPr>
        <w:t xml:space="preserve">:  </w:t>
      </w:r>
      <w:r w:rsidR="008B1E39" w:rsidRPr="00ED0035">
        <w:rPr>
          <w:rFonts w:asciiTheme="majorHAnsi" w:hAnsiTheme="majorHAnsi" w:cstheme="majorHAnsi"/>
          <w:b/>
        </w:rPr>
        <w:t xml:space="preserve">Judge </w:t>
      </w:r>
      <w:r w:rsidR="0042039B">
        <w:rPr>
          <w:rFonts w:asciiTheme="majorHAnsi" w:hAnsiTheme="majorHAnsi" w:cstheme="majorHAnsi"/>
          <w:b/>
        </w:rPr>
        <w:t>Seeborg</w:t>
      </w:r>
      <w:r w:rsidR="008B1E39">
        <w:rPr>
          <w:rFonts w:asciiTheme="majorHAnsi" w:hAnsiTheme="majorHAnsi" w:cstheme="majorHAnsi"/>
          <w:b/>
        </w:rPr>
        <w:t>:</w:t>
      </w:r>
      <w:r w:rsidR="008B1E39" w:rsidRPr="00ED0035">
        <w:rPr>
          <w:rFonts w:asciiTheme="majorHAnsi" w:hAnsiTheme="majorHAnsi" w:cstheme="majorHAnsi"/>
          <w:b/>
        </w:rPr>
        <w:t xml:space="preserve"> </w:t>
      </w:r>
      <w:r w:rsidR="004A25AB">
        <w:rPr>
          <w:rFonts w:asciiTheme="majorHAnsi" w:hAnsiTheme="majorHAnsi" w:cstheme="majorHAnsi"/>
        </w:rPr>
        <w:t>Several of the judges in your district have</w:t>
      </w:r>
      <w:r w:rsidR="008B1E39">
        <w:rPr>
          <w:rFonts w:asciiTheme="majorHAnsi" w:hAnsiTheme="majorHAnsi" w:cstheme="majorHAnsi"/>
        </w:rPr>
        <w:t xml:space="preserve"> previously denied motions to compel discovery of litigation funding issues</w:t>
      </w:r>
      <w:r w:rsidR="004A25AB">
        <w:rPr>
          <w:rFonts w:asciiTheme="majorHAnsi" w:hAnsiTheme="majorHAnsi" w:cstheme="majorHAnsi"/>
        </w:rPr>
        <w:t xml:space="preserve">, and your district previously considered adding </w:t>
      </w:r>
      <w:r w:rsidR="00181C33">
        <w:rPr>
          <w:rFonts w:asciiTheme="majorHAnsi" w:hAnsiTheme="majorHAnsi" w:cstheme="majorHAnsi"/>
        </w:rPr>
        <w:t>the</w:t>
      </w:r>
      <w:r w:rsidR="004A25AB">
        <w:rPr>
          <w:rFonts w:asciiTheme="majorHAnsi" w:hAnsiTheme="majorHAnsi" w:cstheme="majorHAnsi"/>
        </w:rPr>
        <w:t xml:space="preserve"> mandatory disclosure of litigation funders</w:t>
      </w:r>
      <w:r w:rsidR="00181C33">
        <w:rPr>
          <w:rFonts w:asciiTheme="majorHAnsi" w:hAnsiTheme="majorHAnsi" w:cstheme="majorHAnsi"/>
        </w:rPr>
        <w:t xml:space="preserve"> to your local rules</w:t>
      </w:r>
      <w:r w:rsidR="004A25AB">
        <w:rPr>
          <w:rFonts w:asciiTheme="majorHAnsi" w:hAnsiTheme="majorHAnsi" w:cstheme="majorHAnsi"/>
        </w:rPr>
        <w:t>, but ultimately decided against it</w:t>
      </w:r>
      <w:r w:rsidR="008B1E39">
        <w:rPr>
          <w:rFonts w:asciiTheme="majorHAnsi" w:hAnsiTheme="majorHAnsi" w:cstheme="majorHAnsi"/>
        </w:rPr>
        <w:t xml:space="preserve">. </w:t>
      </w:r>
      <w:r>
        <w:rPr>
          <w:rFonts w:asciiTheme="majorHAnsi" w:hAnsiTheme="majorHAnsi" w:cstheme="majorHAnsi"/>
        </w:rPr>
        <w:t xml:space="preserve"> </w:t>
      </w:r>
      <w:r w:rsidR="004A25AB">
        <w:rPr>
          <w:rFonts w:asciiTheme="majorHAnsi" w:hAnsiTheme="majorHAnsi" w:cstheme="majorHAnsi"/>
        </w:rPr>
        <w:t xml:space="preserve">Do </w:t>
      </w:r>
      <w:r>
        <w:rPr>
          <w:rFonts w:asciiTheme="majorHAnsi" w:hAnsiTheme="majorHAnsi" w:cstheme="majorHAnsi"/>
        </w:rPr>
        <w:t>you see litigation-funding issues as outside the normal relevance of the case, and in what circumstances would you allow discovery into these issues?</w:t>
      </w:r>
    </w:p>
    <w:p w14:paraId="2DE638C8" w14:textId="00614812" w:rsidR="004D4CC9" w:rsidRPr="00FF686F" w:rsidRDefault="00CF2700" w:rsidP="00FF686F">
      <w:pPr>
        <w:pStyle w:val="ListParagraph"/>
        <w:numPr>
          <w:ilvl w:val="2"/>
          <w:numId w:val="40"/>
        </w:numPr>
        <w:spacing w:after="240"/>
        <w:contextualSpacing w:val="0"/>
        <w:rPr>
          <w:rFonts w:asciiTheme="majorHAnsi" w:hAnsiTheme="majorHAnsi" w:cstheme="majorHAnsi"/>
        </w:rPr>
      </w:pPr>
      <w:r>
        <w:rPr>
          <w:rFonts w:asciiTheme="majorHAnsi" w:hAnsiTheme="majorHAnsi" w:cstheme="majorHAnsi"/>
          <w:i/>
        </w:rPr>
        <w:t>Potential Follow-Up Question</w:t>
      </w:r>
      <w:r>
        <w:rPr>
          <w:rFonts w:asciiTheme="majorHAnsi" w:hAnsiTheme="majorHAnsi" w:cstheme="majorHAnsi"/>
        </w:rPr>
        <w:t xml:space="preserve">: </w:t>
      </w:r>
      <w:r>
        <w:rPr>
          <w:rFonts w:asciiTheme="majorHAnsi" w:hAnsiTheme="majorHAnsi" w:cstheme="majorHAnsi"/>
          <w:b/>
        </w:rPr>
        <w:t>[Open Question]:</w:t>
      </w:r>
      <w:r>
        <w:rPr>
          <w:rFonts w:asciiTheme="majorHAnsi" w:hAnsiTheme="majorHAnsi" w:cstheme="majorHAnsi"/>
        </w:rPr>
        <w:t xml:space="preserve"> Do any of the Texas judges want to speak on Texas practice related to discovery of litigation funding?</w:t>
      </w:r>
    </w:p>
    <w:p w14:paraId="727FD6D4" w14:textId="77777777" w:rsidR="00D935F8" w:rsidRPr="00CB4DFE" w:rsidRDefault="00D935F8" w:rsidP="00D935F8">
      <w:pPr>
        <w:pStyle w:val="ListParagraph"/>
        <w:numPr>
          <w:ilvl w:val="0"/>
          <w:numId w:val="40"/>
        </w:numPr>
        <w:spacing w:after="240"/>
        <w:contextualSpacing w:val="0"/>
        <w:rPr>
          <w:rFonts w:asciiTheme="majorHAnsi" w:hAnsiTheme="majorHAnsi" w:cstheme="majorHAnsi"/>
          <w:b/>
        </w:rPr>
      </w:pPr>
      <w:r w:rsidRPr="00C1661A">
        <w:rPr>
          <w:rFonts w:asciiTheme="majorHAnsi" w:hAnsiTheme="majorHAnsi" w:cstheme="majorHAnsi"/>
          <w:b/>
        </w:rPr>
        <w:t xml:space="preserve">Patent Contention Disclosures, Early Disclosures, </w:t>
      </w:r>
      <w:r>
        <w:rPr>
          <w:rFonts w:asciiTheme="majorHAnsi" w:hAnsiTheme="majorHAnsi" w:cstheme="majorHAnsi"/>
          <w:b/>
        </w:rPr>
        <w:t>a</w:t>
      </w:r>
      <w:r w:rsidRPr="00C1661A">
        <w:rPr>
          <w:rFonts w:asciiTheme="majorHAnsi" w:hAnsiTheme="majorHAnsi" w:cstheme="majorHAnsi"/>
          <w:b/>
        </w:rPr>
        <w:t xml:space="preserve">nd Treatment </w:t>
      </w:r>
      <w:r>
        <w:rPr>
          <w:rFonts w:asciiTheme="majorHAnsi" w:hAnsiTheme="majorHAnsi" w:cstheme="majorHAnsi"/>
          <w:b/>
        </w:rPr>
        <w:t>o</w:t>
      </w:r>
      <w:r w:rsidRPr="00C1661A">
        <w:rPr>
          <w:rFonts w:asciiTheme="majorHAnsi" w:hAnsiTheme="majorHAnsi" w:cstheme="majorHAnsi"/>
          <w:b/>
        </w:rPr>
        <w:t xml:space="preserve">f Amendments </w:t>
      </w:r>
      <w:r>
        <w:rPr>
          <w:rFonts w:asciiTheme="majorHAnsi" w:hAnsiTheme="majorHAnsi" w:cstheme="majorHAnsi"/>
          <w:b/>
        </w:rPr>
        <w:t>a</w:t>
      </w:r>
      <w:r w:rsidRPr="00C1661A">
        <w:rPr>
          <w:rFonts w:asciiTheme="majorHAnsi" w:hAnsiTheme="majorHAnsi" w:cstheme="majorHAnsi"/>
          <w:b/>
        </w:rPr>
        <w:t>nd Omissions</w:t>
      </w:r>
      <w:r>
        <w:rPr>
          <w:rFonts w:asciiTheme="majorHAnsi" w:hAnsiTheme="majorHAnsi" w:cstheme="majorHAnsi"/>
          <w:b/>
        </w:rPr>
        <w:t xml:space="preserve"> (Josh Thane)</w:t>
      </w:r>
    </w:p>
    <w:p w14:paraId="2D61688C" w14:textId="77777777" w:rsidR="00D935F8" w:rsidRDefault="00D935F8" w:rsidP="00D935F8">
      <w:pPr>
        <w:pStyle w:val="ListParagraph"/>
        <w:numPr>
          <w:ilvl w:val="1"/>
          <w:numId w:val="40"/>
        </w:numPr>
        <w:rPr>
          <w:rFonts w:asciiTheme="majorHAnsi" w:hAnsiTheme="majorHAnsi" w:cstheme="majorHAnsi"/>
        </w:rPr>
      </w:pPr>
      <w:r w:rsidRPr="00466CF3">
        <w:rPr>
          <w:rFonts w:asciiTheme="majorHAnsi" w:hAnsiTheme="majorHAnsi" w:cstheme="majorHAnsi"/>
          <w:i/>
        </w:rPr>
        <w:t>Background</w:t>
      </w:r>
      <w:r w:rsidRPr="00466CF3">
        <w:rPr>
          <w:rFonts w:asciiTheme="majorHAnsi" w:hAnsiTheme="majorHAnsi" w:cstheme="majorHAnsi"/>
        </w:rPr>
        <w:t xml:space="preserve">: </w:t>
      </w:r>
      <w:r>
        <w:rPr>
          <w:rFonts w:asciiTheme="majorHAnsi" w:hAnsiTheme="majorHAnsi" w:cstheme="majorHAnsi"/>
        </w:rPr>
        <w:t xml:space="preserve"> While the judges on the panel all have mechanisms for patent contention disclosures, some are handled by local patent rules, some by local discovery rules, and some by individual judges scheduling orders. </w:t>
      </w:r>
    </w:p>
    <w:p w14:paraId="0CF47B22" w14:textId="77777777" w:rsidR="00D935F8" w:rsidRPr="00466CF3" w:rsidRDefault="00D935F8" w:rsidP="00D935F8">
      <w:pPr>
        <w:pStyle w:val="ListParagraph"/>
        <w:ind w:left="2160"/>
        <w:rPr>
          <w:rFonts w:asciiTheme="majorHAnsi" w:hAnsiTheme="majorHAnsi" w:cstheme="majorHAnsi"/>
        </w:rPr>
      </w:pPr>
    </w:p>
    <w:p w14:paraId="1A248AA4" w14:textId="77777777" w:rsidR="00D935F8" w:rsidRPr="00C53F77" w:rsidRDefault="00D935F8" w:rsidP="00D935F8">
      <w:pPr>
        <w:pStyle w:val="ListParagraph"/>
        <w:numPr>
          <w:ilvl w:val="1"/>
          <w:numId w:val="40"/>
        </w:numPr>
        <w:spacing w:after="240"/>
        <w:contextualSpacing w:val="0"/>
        <w:rPr>
          <w:rFonts w:asciiTheme="majorHAnsi" w:hAnsiTheme="majorHAnsi" w:cstheme="majorHAnsi"/>
        </w:rPr>
      </w:pPr>
      <w:r w:rsidRPr="00466CF3">
        <w:rPr>
          <w:rFonts w:asciiTheme="majorHAnsi" w:hAnsiTheme="majorHAnsi" w:cstheme="majorHAnsi"/>
          <w:i/>
        </w:rPr>
        <w:t>Potential Question</w:t>
      </w:r>
      <w:r w:rsidRPr="00466CF3">
        <w:rPr>
          <w:rFonts w:asciiTheme="majorHAnsi" w:hAnsiTheme="majorHAnsi" w:cstheme="majorHAnsi"/>
        </w:rPr>
        <w:t xml:space="preserve">:  </w:t>
      </w:r>
      <w:r w:rsidRPr="00ED0035">
        <w:rPr>
          <w:rFonts w:asciiTheme="majorHAnsi" w:hAnsiTheme="majorHAnsi" w:cstheme="majorHAnsi"/>
          <w:b/>
        </w:rPr>
        <w:t>Judge Connolly</w:t>
      </w:r>
      <w:r>
        <w:rPr>
          <w:rFonts w:asciiTheme="majorHAnsi" w:hAnsiTheme="majorHAnsi" w:cstheme="majorHAnsi"/>
          <w:b/>
        </w:rPr>
        <w:t>:</w:t>
      </w:r>
      <w:r>
        <w:rPr>
          <w:rFonts w:asciiTheme="majorHAnsi" w:hAnsiTheme="majorHAnsi" w:cstheme="majorHAnsi"/>
        </w:rPr>
        <w:t xml:space="preserve"> Your form scheduling order for patent cases is quite similar in regards to early disclosures to the local patent rules found in EDTX or NDCA. Has Delaware considered adopting a specific set of local patent rules? And why did you decide to use the rules you did when Delaware already has a mechanism for contention discovery in patent cases in its default standard for discovery?</w:t>
      </w:r>
    </w:p>
    <w:p w14:paraId="06E76D67" w14:textId="77777777" w:rsidR="00D935F8" w:rsidRPr="00EC4C8F" w:rsidRDefault="00D935F8" w:rsidP="00D935F8">
      <w:pPr>
        <w:pStyle w:val="ListParagraph"/>
        <w:numPr>
          <w:ilvl w:val="2"/>
          <w:numId w:val="40"/>
        </w:numPr>
        <w:spacing w:after="240"/>
        <w:contextualSpacing w:val="0"/>
        <w:rPr>
          <w:rFonts w:asciiTheme="majorHAnsi" w:hAnsiTheme="majorHAnsi" w:cstheme="majorHAnsi"/>
        </w:rPr>
      </w:pPr>
      <w:r>
        <w:rPr>
          <w:rFonts w:asciiTheme="majorHAnsi" w:hAnsiTheme="majorHAnsi" w:cstheme="majorHAnsi"/>
          <w:i/>
        </w:rPr>
        <w:t>Potential Follow-Up Question</w:t>
      </w:r>
      <w:r>
        <w:rPr>
          <w:rFonts w:asciiTheme="majorHAnsi" w:hAnsiTheme="majorHAnsi" w:cstheme="majorHAnsi"/>
        </w:rPr>
        <w:t xml:space="preserve">: </w:t>
      </w:r>
      <w:r>
        <w:rPr>
          <w:rFonts w:asciiTheme="majorHAnsi" w:hAnsiTheme="majorHAnsi" w:cstheme="majorHAnsi"/>
          <w:b/>
        </w:rPr>
        <w:t>Judge Andrews:</w:t>
      </w:r>
      <w:r>
        <w:rPr>
          <w:rFonts w:asciiTheme="majorHAnsi" w:hAnsiTheme="majorHAnsi" w:cstheme="majorHAnsi"/>
        </w:rPr>
        <w:t xml:space="preserve"> Any follow up thoughts on whether Delaware should adopt local patent rules?</w:t>
      </w:r>
    </w:p>
    <w:p w14:paraId="597681AA" w14:textId="4AAC4412" w:rsidR="00D935F8" w:rsidRPr="00B16C11" w:rsidRDefault="00D935F8" w:rsidP="00D935F8">
      <w:pPr>
        <w:pStyle w:val="ListParagraph"/>
        <w:numPr>
          <w:ilvl w:val="1"/>
          <w:numId w:val="40"/>
        </w:numPr>
        <w:rPr>
          <w:rFonts w:asciiTheme="majorHAnsi" w:hAnsiTheme="majorHAnsi" w:cstheme="majorHAnsi"/>
          <w:b/>
        </w:rPr>
      </w:pPr>
      <w:r w:rsidRPr="00466CF3">
        <w:rPr>
          <w:rFonts w:asciiTheme="majorHAnsi" w:hAnsiTheme="majorHAnsi" w:cstheme="majorHAnsi"/>
          <w:i/>
        </w:rPr>
        <w:t>Potential Question</w:t>
      </w:r>
      <w:r w:rsidRPr="00466CF3">
        <w:rPr>
          <w:rFonts w:asciiTheme="majorHAnsi" w:hAnsiTheme="majorHAnsi" w:cstheme="majorHAnsi"/>
        </w:rPr>
        <w:t xml:space="preserve">:  </w:t>
      </w:r>
      <w:r w:rsidRPr="00ED0035">
        <w:rPr>
          <w:rFonts w:asciiTheme="majorHAnsi" w:hAnsiTheme="majorHAnsi" w:cstheme="majorHAnsi"/>
          <w:b/>
        </w:rPr>
        <w:t>Judge Yeakel</w:t>
      </w:r>
      <w:r>
        <w:rPr>
          <w:rFonts w:asciiTheme="majorHAnsi" w:hAnsiTheme="majorHAnsi" w:cstheme="majorHAnsi"/>
          <w:b/>
        </w:rPr>
        <w:t>:</w:t>
      </w:r>
      <w:r>
        <w:rPr>
          <w:rFonts w:asciiTheme="majorHAnsi" w:hAnsiTheme="majorHAnsi" w:cstheme="majorHAnsi"/>
        </w:rPr>
        <w:t xml:space="preserve"> With the rise in the number of patent cases filed in the Western District of Texas, and with almost all the judges in the district now helping out with patent cases, do you see the district considering adopting a set of local patent rules? </w:t>
      </w:r>
    </w:p>
    <w:p w14:paraId="4DBC4ACB" w14:textId="06A29E1E" w:rsidR="00B16C11" w:rsidRDefault="00B16C11" w:rsidP="00B16C11">
      <w:pPr>
        <w:rPr>
          <w:rFonts w:asciiTheme="majorHAnsi" w:hAnsiTheme="majorHAnsi" w:cstheme="majorHAnsi"/>
          <w:b/>
        </w:rPr>
      </w:pPr>
    </w:p>
    <w:p w14:paraId="27989F1F" w14:textId="18B4E280" w:rsidR="00B16C11" w:rsidRDefault="00B16C11" w:rsidP="00B16C11">
      <w:pPr>
        <w:rPr>
          <w:rFonts w:asciiTheme="majorHAnsi" w:hAnsiTheme="majorHAnsi" w:cstheme="majorHAnsi"/>
          <w:b/>
        </w:rPr>
      </w:pPr>
    </w:p>
    <w:p w14:paraId="6E6210F4" w14:textId="77777777" w:rsidR="00B16C11" w:rsidRPr="00B16C11" w:rsidRDefault="00B16C11" w:rsidP="00B16C11">
      <w:pPr>
        <w:rPr>
          <w:rFonts w:asciiTheme="majorHAnsi" w:hAnsiTheme="majorHAnsi" w:cstheme="majorHAnsi"/>
          <w:b/>
        </w:rPr>
      </w:pPr>
    </w:p>
    <w:p w14:paraId="7FF70BB7" w14:textId="77777777" w:rsidR="00D935F8" w:rsidRPr="00D935F8" w:rsidRDefault="00D935F8" w:rsidP="00D935F8">
      <w:pPr>
        <w:ind w:left="360"/>
        <w:rPr>
          <w:rFonts w:asciiTheme="majorHAnsi" w:hAnsiTheme="majorHAnsi" w:cstheme="majorHAnsi"/>
          <w:b/>
        </w:rPr>
      </w:pPr>
    </w:p>
    <w:p w14:paraId="54D66B7A" w14:textId="668463D7" w:rsidR="004B1654" w:rsidRPr="00FE52A6" w:rsidRDefault="00FE52A6" w:rsidP="00D935F8">
      <w:pPr>
        <w:pStyle w:val="ListParagraph"/>
        <w:numPr>
          <w:ilvl w:val="0"/>
          <w:numId w:val="40"/>
        </w:numPr>
        <w:rPr>
          <w:rFonts w:asciiTheme="majorHAnsi" w:hAnsiTheme="majorHAnsi" w:cstheme="majorHAnsi"/>
          <w:b/>
        </w:rPr>
      </w:pPr>
      <w:r w:rsidRPr="00FE52A6">
        <w:rPr>
          <w:rFonts w:asciiTheme="majorHAnsi" w:hAnsiTheme="majorHAnsi" w:cstheme="majorHAnsi"/>
          <w:b/>
        </w:rPr>
        <w:lastRenderedPageBreak/>
        <w:t xml:space="preserve">Section 101 Patent Eligibility Disputes </w:t>
      </w:r>
      <w:r w:rsidR="00CF2700">
        <w:rPr>
          <w:rFonts w:asciiTheme="majorHAnsi" w:hAnsiTheme="majorHAnsi" w:cstheme="majorHAnsi"/>
          <w:b/>
        </w:rPr>
        <w:t>(Kevin Collins)</w:t>
      </w:r>
    </w:p>
    <w:p w14:paraId="76D9C942" w14:textId="3FC1FC53" w:rsidR="00FE52A6" w:rsidRPr="00FE52A6" w:rsidRDefault="00FE52A6" w:rsidP="00FE52A6">
      <w:pPr>
        <w:rPr>
          <w:rFonts w:asciiTheme="majorHAnsi" w:hAnsiTheme="majorHAnsi" w:cstheme="majorHAnsi"/>
        </w:rPr>
      </w:pPr>
    </w:p>
    <w:p w14:paraId="1C0ACF1B" w14:textId="53884642" w:rsidR="00FE52A6" w:rsidRDefault="00FE52A6" w:rsidP="00FE52A6">
      <w:pPr>
        <w:pStyle w:val="ListParagraph"/>
        <w:numPr>
          <w:ilvl w:val="1"/>
          <w:numId w:val="40"/>
        </w:numPr>
        <w:rPr>
          <w:rFonts w:asciiTheme="majorHAnsi" w:hAnsiTheme="majorHAnsi" w:cstheme="majorHAnsi"/>
          <w:u w:val="single"/>
        </w:rPr>
      </w:pPr>
      <w:r w:rsidRPr="00FE52A6">
        <w:rPr>
          <w:rFonts w:asciiTheme="majorHAnsi" w:hAnsiTheme="majorHAnsi" w:cstheme="majorHAnsi"/>
          <w:u w:val="single"/>
        </w:rPr>
        <w:t>Pre-</w:t>
      </w:r>
      <w:proofErr w:type="spellStart"/>
      <w:r w:rsidRPr="00FE52A6">
        <w:rPr>
          <w:rFonts w:asciiTheme="majorHAnsi" w:hAnsiTheme="majorHAnsi" w:cstheme="majorHAnsi"/>
          <w:i/>
          <w:u w:val="single"/>
        </w:rPr>
        <w:t>Markman</w:t>
      </w:r>
      <w:proofErr w:type="spellEnd"/>
      <w:r w:rsidRPr="00FE52A6">
        <w:rPr>
          <w:rFonts w:asciiTheme="majorHAnsi" w:hAnsiTheme="majorHAnsi" w:cstheme="majorHAnsi"/>
          <w:u w:val="single"/>
        </w:rPr>
        <w:t xml:space="preserve"> </w:t>
      </w:r>
      <w:r w:rsidR="00160674">
        <w:rPr>
          <w:rFonts w:asciiTheme="majorHAnsi" w:hAnsiTheme="majorHAnsi" w:cstheme="majorHAnsi"/>
          <w:u w:val="single"/>
        </w:rPr>
        <w:t xml:space="preserve">Section </w:t>
      </w:r>
      <w:r w:rsidRPr="00FE52A6">
        <w:rPr>
          <w:rFonts w:asciiTheme="majorHAnsi" w:hAnsiTheme="majorHAnsi" w:cstheme="majorHAnsi"/>
          <w:u w:val="single"/>
        </w:rPr>
        <w:t xml:space="preserve">101 </w:t>
      </w:r>
      <w:r w:rsidR="00160674">
        <w:rPr>
          <w:rFonts w:asciiTheme="majorHAnsi" w:hAnsiTheme="majorHAnsi" w:cstheme="majorHAnsi"/>
          <w:u w:val="single"/>
        </w:rPr>
        <w:t>m</w:t>
      </w:r>
      <w:r w:rsidRPr="00FE52A6">
        <w:rPr>
          <w:rFonts w:asciiTheme="majorHAnsi" w:hAnsiTheme="majorHAnsi" w:cstheme="majorHAnsi"/>
          <w:u w:val="single"/>
        </w:rPr>
        <w:t>otions</w:t>
      </w:r>
    </w:p>
    <w:p w14:paraId="65B80876" w14:textId="77777777" w:rsidR="00FE52A6" w:rsidRPr="00466CF3" w:rsidRDefault="00FE52A6" w:rsidP="00FE52A6">
      <w:pPr>
        <w:pStyle w:val="ListParagraph"/>
        <w:ind w:left="1440"/>
        <w:rPr>
          <w:rFonts w:asciiTheme="majorHAnsi" w:hAnsiTheme="majorHAnsi" w:cstheme="majorHAnsi"/>
          <w:u w:val="single"/>
        </w:rPr>
      </w:pPr>
    </w:p>
    <w:p w14:paraId="602985E9" w14:textId="73C800A6" w:rsidR="00FE52A6" w:rsidRDefault="00FE52A6" w:rsidP="00FE52A6">
      <w:pPr>
        <w:pStyle w:val="ListParagraph"/>
        <w:numPr>
          <w:ilvl w:val="2"/>
          <w:numId w:val="40"/>
        </w:numPr>
        <w:rPr>
          <w:rFonts w:asciiTheme="majorHAnsi" w:hAnsiTheme="majorHAnsi" w:cstheme="majorHAnsi"/>
        </w:rPr>
      </w:pPr>
      <w:r w:rsidRPr="00466CF3">
        <w:rPr>
          <w:rFonts w:asciiTheme="majorHAnsi" w:hAnsiTheme="majorHAnsi" w:cstheme="majorHAnsi"/>
          <w:i/>
        </w:rPr>
        <w:t>Background</w:t>
      </w:r>
      <w:r>
        <w:rPr>
          <w:rFonts w:asciiTheme="majorHAnsi" w:hAnsiTheme="majorHAnsi" w:cstheme="majorHAnsi"/>
        </w:rPr>
        <w:t xml:space="preserve">:  </w:t>
      </w:r>
      <w:r w:rsidR="00160674" w:rsidRPr="00CB4DFE">
        <w:rPr>
          <w:rFonts w:asciiTheme="majorHAnsi" w:hAnsiTheme="majorHAnsi" w:cstheme="majorHAnsi"/>
        </w:rPr>
        <w:t xml:space="preserve">While </w:t>
      </w:r>
      <w:r w:rsidR="00160674">
        <w:rPr>
          <w:rFonts w:asciiTheme="majorHAnsi" w:hAnsiTheme="majorHAnsi" w:cstheme="majorHAnsi"/>
        </w:rPr>
        <w:t xml:space="preserve">EDTX, DEL and NDCA </w:t>
      </w:r>
      <w:r w:rsidR="00160674" w:rsidRPr="00CB4DFE">
        <w:rPr>
          <w:rFonts w:asciiTheme="majorHAnsi" w:hAnsiTheme="majorHAnsi" w:cstheme="majorHAnsi"/>
        </w:rPr>
        <w:t xml:space="preserve">all require Section 101 patent eligibility contentions in some form, since 2015, Chief Judge Gilstrap has maintained special procedures governing dispositive motions raising Section 101 arguments.  Among other things, the </w:t>
      </w:r>
      <w:r w:rsidR="00160674">
        <w:rPr>
          <w:rFonts w:asciiTheme="majorHAnsi" w:hAnsiTheme="majorHAnsi" w:cstheme="majorHAnsi"/>
        </w:rPr>
        <w:t xml:space="preserve">“Standing Order Regarding Motions Under 35 U.S.C § 101” requires </w:t>
      </w:r>
      <w:r w:rsidR="00160674" w:rsidRPr="00160674">
        <w:rPr>
          <w:rFonts w:asciiTheme="majorHAnsi" w:hAnsiTheme="majorHAnsi" w:cstheme="majorHAnsi"/>
        </w:rPr>
        <w:t xml:space="preserve">lead counsel for each side to meet and confer “one-on-one” to decide whether the patent eligibility issues can be resolved without claim construction.  The </w:t>
      </w:r>
      <w:r w:rsidR="00160674">
        <w:rPr>
          <w:rFonts w:asciiTheme="majorHAnsi" w:hAnsiTheme="majorHAnsi" w:cstheme="majorHAnsi"/>
        </w:rPr>
        <w:t xml:space="preserve">Standing Order states </w:t>
      </w:r>
      <w:r w:rsidR="00160674" w:rsidRPr="00160674">
        <w:rPr>
          <w:rFonts w:asciiTheme="majorHAnsi" w:hAnsiTheme="majorHAnsi" w:cstheme="majorHAnsi"/>
        </w:rPr>
        <w:t xml:space="preserve">that “efficiency is enhanced by early input as to the propriety or lack thereof regarding claim construction prior to consideration of such motions.”  </w:t>
      </w:r>
    </w:p>
    <w:p w14:paraId="34031CD4" w14:textId="77777777" w:rsidR="00FE52A6" w:rsidRDefault="00FE52A6" w:rsidP="00FE52A6">
      <w:pPr>
        <w:pStyle w:val="ListParagraph"/>
        <w:ind w:left="2160"/>
        <w:rPr>
          <w:rFonts w:asciiTheme="majorHAnsi" w:hAnsiTheme="majorHAnsi" w:cstheme="majorHAnsi"/>
        </w:rPr>
      </w:pPr>
    </w:p>
    <w:p w14:paraId="7675BB0B" w14:textId="0DCEB496" w:rsidR="00FE52A6" w:rsidRDefault="00FE52A6" w:rsidP="00FE52A6">
      <w:pPr>
        <w:pStyle w:val="ListParagraph"/>
        <w:numPr>
          <w:ilvl w:val="2"/>
          <w:numId w:val="40"/>
        </w:numPr>
        <w:rPr>
          <w:rFonts w:asciiTheme="majorHAnsi" w:hAnsiTheme="majorHAnsi" w:cstheme="majorHAnsi"/>
        </w:rPr>
      </w:pPr>
      <w:r w:rsidRPr="00466CF3">
        <w:rPr>
          <w:rFonts w:asciiTheme="majorHAnsi" w:hAnsiTheme="majorHAnsi" w:cstheme="majorHAnsi"/>
          <w:i/>
        </w:rPr>
        <w:t>Potential Question</w:t>
      </w:r>
      <w:r>
        <w:rPr>
          <w:rFonts w:asciiTheme="majorHAnsi" w:hAnsiTheme="majorHAnsi" w:cstheme="majorHAnsi"/>
        </w:rPr>
        <w:t>:</w:t>
      </w:r>
      <w:r w:rsidRPr="00466CF3">
        <w:rPr>
          <w:rFonts w:asciiTheme="majorHAnsi" w:hAnsiTheme="majorHAnsi" w:cstheme="majorHAnsi"/>
        </w:rPr>
        <w:t xml:space="preserve"> </w:t>
      </w:r>
      <w:r>
        <w:rPr>
          <w:rFonts w:asciiTheme="majorHAnsi" w:hAnsiTheme="majorHAnsi" w:cstheme="majorHAnsi"/>
        </w:rPr>
        <w:t xml:space="preserve"> </w:t>
      </w:r>
      <w:r w:rsidR="004047ED" w:rsidRPr="003F2E71">
        <w:rPr>
          <w:rFonts w:asciiTheme="majorHAnsi" w:hAnsiTheme="majorHAnsi" w:cstheme="majorHAnsi"/>
          <w:b/>
        </w:rPr>
        <w:t>Judge Gilstrap</w:t>
      </w:r>
      <w:r w:rsidR="004047ED">
        <w:rPr>
          <w:rFonts w:asciiTheme="majorHAnsi" w:hAnsiTheme="majorHAnsi" w:cstheme="majorHAnsi"/>
        </w:rPr>
        <w:t>,</w:t>
      </w:r>
      <w:r w:rsidR="004047ED" w:rsidRPr="00CB4DFE">
        <w:rPr>
          <w:rFonts w:asciiTheme="majorHAnsi" w:hAnsiTheme="majorHAnsi" w:cstheme="majorHAnsi"/>
        </w:rPr>
        <w:t xml:space="preserve"> </w:t>
      </w:r>
      <w:r w:rsidR="004047ED">
        <w:rPr>
          <w:rFonts w:asciiTheme="majorHAnsi" w:hAnsiTheme="majorHAnsi" w:cstheme="majorHAnsi"/>
        </w:rPr>
        <w:t>d</w:t>
      </w:r>
      <w:r w:rsidR="00160674">
        <w:rPr>
          <w:rFonts w:asciiTheme="majorHAnsi" w:hAnsiTheme="majorHAnsi" w:cstheme="majorHAnsi"/>
        </w:rPr>
        <w:t xml:space="preserve">oes </w:t>
      </w:r>
      <w:r w:rsidR="00160674" w:rsidRPr="00CB4DFE">
        <w:rPr>
          <w:rFonts w:asciiTheme="majorHAnsi" w:hAnsiTheme="majorHAnsi" w:cstheme="majorHAnsi"/>
        </w:rPr>
        <w:t xml:space="preserve">early resolution of Section 101 issues, </w:t>
      </w:r>
      <w:r w:rsidR="00160674" w:rsidRPr="00CB4DFE">
        <w:rPr>
          <w:rFonts w:asciiTheme="majorHAnsi" w:hAnsiTheme="majorHAnsi" w:cstheme="majorHAnsi"/>
          <w:i/>
        </w:rPr>
        <w:t>e.g</w:t>
      </w:r>
      <w:r w:rsidR="00160674" w:rsidRPr="00CB4DFE">
        <w:rPr>
          <w:rFonts w:asciiTheme="majorHAnsi" w:hAnsiTheme="majorHAnsi" w:cstheme="majorHAnsi"/>
        </w:rPr>
        <w:t>., through a motion to dismiss</w:t>
      </w:r>
      <w:r w:rsidR="00160674">
        <w:rPr>
          <w:rFonts w:asciiTheme="majorHAnsi" w:hAnsiTheme="majorHAnsi" w:cstheme="majorHAnsi"/>
        </w:rPr>
        <w:t>, enhance efficiency</w:t>
      </w:r>
      <w:r w:rsidR="00160674" w:rsidRPr="00CB4DFE">
        <w:rPr>
          <w:rFonts w:asciiTheme="majorHAnsi" w:hAnsiTheme="majorHAnsi" w:cstheme="majorHAnsi"/>
        </w:rPr>
        <w:t xml:space="preserve">?  </w:t>
      </w:r>
      <w:r w:rsidR="00160674">
        <w:rPr>
          <w:rFonts w:asciiTheme="majorHAnsi" w:hAnsiTheme="majorHAnsi" w:cstheme="majorHAnsi"/>
        </w:rPr>
        <w:t xml:space="preserve">Are </w:t>
      </w:r>
      <w:r w:rsidR="00160674" w:rsidRPr="00CB4DFE">
        <w:rPr>
          <w:rFonts w:asciiTheme="majorHAnsi" w:hAnsiTheme="majorHAnsi" w:cstheme="majorHAnsi"/>
        </w:rPr>
        <w:t>disagreements as to whether claim terms need to be construed a main challenge in resolving such motions?</w:t>
      </w:r>
    </w:p>
    <w:p w14:paraId="1D958085" w14:textId="77777777" w:rsidR="00FE52A6" w:rsidRPr="00466CF3" w:rsidRDefault="00FE52A6" w:rsidP="00FE52A6">
      <w:pPr>
        <w:rPr>
          <w:rFonts w:asciiTheme="majorHAnsi" w:hAnsiTheme="majorHAnsi" w:cstheme="majorHAnsi"/>
        </w:rPr>
      </w:pPr>
    </w:p>
    <w:p w14:paraId="0B703AF9" w14:textId="6106AD52" w:rsidR="00FE52A6" w:rsidRDefault="00160674" w:rsidP="00160674">
      <w:pPr>
        <w:pStyle w:val="ListParagraph"/>
        <w:numPr>
          <w:ilvl w:val="1"/>
          <w:numId w:val="40"/>
        </w:numPr>
        <w:rPr>
          <w:rFonts w:asciiTheme="majorHAnsi" w:hAnsiTheme="majorHAnsi" w:cstheme="majorHAnsi"/>
          <w:u w:val="single"/>
        </w:rPr>
      </w:pPr>
      <w:r w:rsidRPr="00160674">
        <w:rPr>
          <w:rFonts w:asciiTheme="majorHAnsi" w:hAnsiTheme="majorHAnsi" w:cstheme="majorHAnsi"/>
          <w:u w:val="single"/>
        </w:rPr>
        <w:t xml:space="preserve">Whether Section 101 </w:t>
      </w:r>
      <w:r>
        <w:rPr>
          <w:rFonts w:asciiTheme="majorHAnsi" w:hAnsiTheme="majorHAnsi" w:cstheme="majorHAnsi"/>
          <w:u w:val="single"/>
        </w:rPr>
        <w:t xml:space="preserve">patent </w:t>
      </w:r>
      <w:r w:rsidRPr="00160674">
        <w:rPr>
          <w:rFonts w:asciiTheme="majorHAnsi" w:hAnsiTheme="majorHAnsi" w:cstheme="majorHAnsi"/>
          <w:u w:val="single"/>
        </w:rPr>
        <w:t>eligibility rules are clear</w:t>
      </w:r>
    </w:p>
    <w:p w14:paraId="6B930EF6" w14:textId="77777777" w:rsidR="00FE52A6" w:rsidRDefault="00FE52A6" w:rsidP="00FE52A6">
      <w:pPr>
        <w:pStyle w:val="ListParagraph"/>
        <w:ind w:left="1440"/>
        <w:rPr>
          <w:rFonts w:asciiTheme="majorHAnsi" w:hAnsiTheme="majorHAnsi" w:cstheme="majorHAnsi"/>
          <w:u w:val="single"/>
        </w:rPr>
      </w:pPr>
    </w:p>
    <w:p w14:paraId="03B1EF87" w14:textId="41F63806" w:rsidR="00FE52A6" w:rsidRDefault="00FE52A6" w:rsidP="00FE52A6">
      <w:pPr>
        <w:pStyle w:val="ListParagraph"/>
        <w:numPr>
          <w:ilvl w:val="2"/>
          <w:numId w:val="40"/>
        </w:numPr>
        <w:rPr>
          <w:rFonts w:asciiTheme="majorHAnsi" w:hAnsiTheme="majorHAnsi" w:cstheme="majorHAnsi"/>
        </w:rPr>
      </w:pPr>
      <w:r w:rsidRPr="00466CF3">
        <w:rPr>
          <w:rFonts w:asciiTheme="majorHAnsi" w:hAnsiTheme="majorHAnsi" w:cstheme="majorHAnsi"/>
          <w:i/>
        </w:rPr>
        <w:t>Background</w:t>
      </w:r>
      <w:r w:rsidRPr="00466CF3">
        <w:rPr>
          <w:rFonts w:asciiTheme="majorHAnsi" w:hAnsiTheme="majorHAnsi" w:cstheme="majorHAnsi"/>
        </w:rPr>
        <w:t xml:space="preserve">: </w:t>
      </w:r>
      <w:r>
        <w:rPr>
          <w:rFonts w:asciiTheme="majorHAnsi" w:hAnsiTheme="majorHAnsi" w:cstheme="majorHAnsi"/>
        </w:rPr>
        <w:t xml:space="preserve"> </w:t>
      </w:r>
      <w:r w:rsidR="00160674" w:rsidRPr="00CB4DFE">
        <w:rPr>
          <w:rFonts w:asciiTheme="majorHAnsi" w:hAnsiTheme="majorHAnsi" w:cstheme="majorHAnsi"/>
        </w:rPr>
        <w:t>T</w:t>
      </w:r>
      <w:r w:rsidR="00160674">
        <w:rPr>
          <w:rFonts w:asciiTheme="majorHAnsi" w:hAnsiTheme="majorHAnsi" w:cstheme="majorHAnsi"/>
        </w:rPr>
        <w:t xml:space="preserve">here is a wide variance between EDTX, NDCA, and DEL </w:t>
      </w:r>
      <w:r w:rsidR="00160674" w:rsidRPr="00CB4DFE">
        <w:rPr>
          <w:rFonts w:asciiTheme="majorHAnsi" w:hAnsiTheme="majorHAnsi" w:cstheme="majorHAnsi"/>
        </w:rPr>
        <w:t>courts in how often Section 101 motions, particularly early motions to dismiss, are granted.</w:t>
      </w:r>
    </w:p>
    <w:p w14:paraId="5C3EC0C5" w14:textId="77777777" w:rsidR="00FE52A6" w:rsidRPr="00466CF3" w:rsidRDefault="00FE52A6" w:rsidP="00FE52A6">
      <w:pPr>
        <w:pStyle w:val="ListParagraph"/>
        <w:ind w:left="2160"/>
        <w:rPr>
          <w:rFonts w:asciiTheme="majorHAnsi" w:hAnsiTheme="majorHAnsi" w:cstheme="majorHAnsi"/>
        </w:rPr>
      </w:pPr>
    </w:p>
    <w:p w14:paraId="6E761E47" w14:textId="088B7163" w:rsidR="00FE52A6" w:rsidRPr="0078217E" w:rsidRDefault="00FE52A6" w:rsidP="00FE52A6">
      <w:pPr>
        <w:pStyle w:val="ListParagraph"/>
        <w:numPr>
          <w:ilvl w:val="2"/>
          <w:numId w:val="40"/>
        </w:numPr>
        <w:rPr>
          <w:rFonts w:asciiTheme="majorHAnsi" w:hAnsiTheme="majorHAnsi" w:cstheme="majorHAnsi"/>
          <w:u w:val="single"/>
        </w:rPr>
      </w:pPr>
      <w:r w:rsidRPr="00466CF3">
        <w:rPr>
          <w:rFonts w:asciiTheme="majorHAnsi" w:hAnsiTheme="majorHAnsi" w:cstheme="majorHAnsi"/>
          <w:i/>
        </w:rPr>
        <w:t>Potential Question</w:t>
      </w:r>
      <w:r w:rsidRPr="00466CF3">
        <w:rPr>
          <w:rFonts w:asciiTheme="majorHAnsi" w:hAnsiTheme="majorHAnsi" w:cstheme="majorHAnsi"/>
        </w:rPr>
        <w:t xml:space="preserve">:  </w:t>
      </w:r>
      <w:r w:rsidR="00160674" w:rsidRPr="003F2E71">
        <w:rPr>
          <w:rFonts w:asciiTheme="majorHAnsi" w:hAnsiTheme="majorHAnsi" w:cstheme="majorHAnsi"/>
          <w:b/>
        </w:rPr>
        <w:t>Judge Mazzant</w:t>
      </w:r>
      <w:r w:rsidR="00160674">
        <w:rPr>
          <w:rFonts w:asciiTheme="majorHAnsi" w:hAnsiTheme="majorHAnsi" w:cstheme="majorHAnsi"/>
        </w:rPr>
        <w:t>, w</w:t>
      </w:r>
      <w:r w:rsidR="00160674" w:rsidRPr="00CB4DFE">
        <w:rPr>
          <w:rFonts w:asciiTheme="majorHAnsi" w:hAnsiTheme="majorHAnsi" w:cstheme="majorHAnsi"/>
        </w:rPr>
        <w:t xml:space="preserve">hat is your approach to Section 101 patent eligibility disputes, and do you believe that trial courts now have adequate guidance from higher courts on these issues?  </w:t>
      </w:r>
    </w:p>
    <w:p w14:paraId="246296E1" w14:textId="77777777" w:rsidR="0078217E" w:rsidRPr="0078217E" w:rsidRDefault="0078217E" w:rsidP="0078217E">
      <w:pPr>
        <w:pStyle w:val="ListParagraph"/>
        <w:rPr>
          <w:rFonts w:asciiTheme="majorHAnsi" w:hAnsiTheme="majorHAnsi" w:cstheme="majorHAnsi"/>
          <w:u w:val="single"/>
        </w:rPr>
      </w:pPr>
    </w:p>
    <w:p w14:paraId="51506453" w14:textId="280A9AA7" w:rsidR="00D935F8" w:rsidRPr="00D935F8" w:rsidRDefault="0078217E" w:rsidP="00D935F8">
      <w:pPr>
        <w:pStyle w:val="ListParagraph"/>
        <w:numPr>
          <w:ilvl w:val="2"/>
          <w:numId w:val="40"/>
        </w:numPr>
        <w:rPr>
          <w:rFonts w:asciiTheme="majorHAnsi" w:hAnsiTheme="majorHAnsi" w:cstheme="majorHAnsi"/>
          <w:u w:val="single"/>
        </w:rPr>
      </w:pPr>
      <w:r w:rsidRPr="0078217E">
        <w:rPr>
          <w:rFonts w:asciiTheme="majorHAnsi" w:hAnsiTheme="majorHAnsi" w:cstheme="majorHAnsi"/>
          <w:i/>
        </w:rPr>
        <w:t>Potential Question</w:t>
      </w:r>
      <w:r>
        <w:rPr>
          <w:rFonts w:asciiTheme="majorHAnsi" w:hAnsiTheme="majorHAnsi" w:cstheme="majorHAnsi"/>
        </w:rPr>
        <w:t xml:space="preserve">:  </w:t>
      </w:r>
      <w:r w:rsidRPr="003F2E71">
        <w:rPr>
          <w:rFonts w:asciiTheme="majorHAnsi" w:hAnsiTheme="majorHAnsi" w:cstheme="majorHAnsi"/>
          <w:b/>
        </w:rPr>
        <w:t>Judge Stark</w:t>
      </w:r>
      <w:r>
        <w:rPr>
          <w:rFonts w:asciiTheme="majorHAnsi" w:hAnsiTheme="majorHAnsi" w:cstheme="majorHAnsi"/>
        </w:rPr>
        <w:t>, y</w:t>
      </w:r>
      <w:r w:rsidRPr="00CB4DFE">
        <w:rPr>
          <w:rFonts w:asciiTheme="majorHAnsi" w:hAnsiTheme="majorHAnsi" w:cstheme="majorHAnsi"/>
        </w:rPr>
        <w:t xml:space="preserve">ou granted relief in </w:t>
      </w:r>
      <w:r>
        <w:rPr>
          <w:rFonts w:asciiTheme="majorHAnsi" w:hAnsiTheme="majorHAnsi" w:cstheme="majorHAnsi"/>
        </w:rPr>
        <w:t xml:space="preserve">many </w:t>
      </w:r>
      <w:r w:rsidRPr="00CB4DFE">
        <w:rPr>
          <w:rFonts w:asciiTheme="majorHAnsi" w:hAnsiTheme="majorHAnsi" w:cstheme="majorHAnsi"/>
        </w:rPr>
        <w:t xml:space="preserve">early Section 101 motions to dismiss brought before you.  </w:t>
      </w:r>
      <w:r w:rsidR="00B66DA1">
        <w:rPr>
          <w:rFonts w:asciiTheme="majorHAnsi" w:hAnsiTheme="majorHAnsi" w:cstheme="majorHAnsi"/>
        </w:rPr>
        <w:t xml:space="preserve">Before joining the Federal Circuit, what were your views on handling these 101 motions and have your views changed? </w:t>
      </w:r>
    </w:p>
    <w:p w14:paraId="7EC89328" w14:textId="77777777" w:rsidR="00D935F8" w:rsidRPr="00D935F8" w:rsidRDefault="00D935F8" w:rsidP="00D935F8">
      <w:pPr>
        <w:pStyle w:val="ListParagraph"/>
        <w:ind w:left="2160"/>
        <w:rPr>
          <w:rFonts w:asciiTheme="majorHAnsi" w:hAnsiTheme="majorHAnsi" w:cstheme="majorHAnsi"/>
          <w:u w:val="single"/>
        </w:rPr>
      </w:pPr>
    </w:p>
    <w:p w14:paraId="22174A93" w14:textId="6AEB473F" w:rsidR="00C631FC" w:rsidRPr="00582ADB" w:rsidRDefault="00C631FC" w:rsidP="00C631FC">
      <w:pPr>
        <w:pStyle w:val="ListParagraph"/>
        <w:numPr>
          <w:ilvl w:val="0"/>
          <w:numId w:val="40"/>
        </w:numPr>
        <w:rPr>
          <w:rFonts w:asciiTheme="majorHAnsi" w:hAnsiTheme="majorHAnsi" w:cstheme="majorHAnsi"/>
          <w:b/>
        </w:rPr>
      </w:pPr>
      <w:r w:rsidRPr="00582ADB">
        <w:rPr>
          <w:rFonts w:asciiTheme="majorHAnsi" w:hAnsiTheme="majorHAnsi" w:cstheme="majorHAnsi"/>
          <w:b/>
        </w:rPr>
        <w:t xml:space="preserve">PTAB And District Court Interplay </w:t>
      </w:r>
      <w:r>
        <w:rPr>
          <w:rFonts w:asciiTheme="majorHAnsi" w:hAnsiTheme="majorHAnsi" w:cstheme="majorHAnsi"/>
          <w:b/>
        </w:rPr>
        <w:t>(</w:t>
      </w:r>
      <w:r w:rsidR="00821F2E">
        <w:rPr>
          <w:rFonts w:asciiTheme="majorHAnsi" w:hAnsiTheme="majorHAnsi" w:cstheme="majorHAnsi"/>
          <w:b/>
        </w:rPr>
        <w:t>Kevin Collins)</w:t>
      </w:r>
    </w:p>
    <w:p w14:paraId="7294B467" w14:textId="77777777" w:rsidR="00C631FC" w:rsidRPr="00582ADB" w:rsidRDefault="00C631FC" w:rsidP="00C631FC">
      <w:pPr>
        <w:rPr>
          <w:rFonts w:asciiTheme="majorHAnsi" w:hAnsiTheme="majorHAnsi" w:cstheme="majorHAnsi"/>
        </w:rPr>
      </w:pPr>
    </w:p>
    <w:p w14:paraId="4DD9CCCD" w14:textId="77777777" w:rsidR="00C631FC" w:rsidRPr="00582ADB" w:rsidRDefault="00C631FC" w:rsidP="00C631FC">
      <w:pPr>
        <w:pStyle w:val="ListParagraph"/>
        <w:numPr>
          <w:ilvl w:val="1"/>
          <w:numId w:val="40"/>
        </w:numPr>
        <w:rPr>
          <w:rFonts w:asciiTheme="majorHAnsi" w:hAnsiTheme="majorHAnsi" w:cstheme="majorHAnsi"/>
          <w:u w:val="single"/>
        </w:rPr>
      </w:pPr>
      <w:r w:rsidRPr="00582ADB">
        <w:rPr>
          <w:rFonts w:asciiTheme="majorHAnsi" w:hAnsiTheme="majorHAnsi" w:cstheme="majorHAnsi"/>
          <w:u w:val="single"/>
        </w:rPr>
        <w:t>Role of PTAB</w:t>
      </w:r>
    </w:p>
    <w:p w14:paraId="3792B834" w14:textId="77777777" w:rsidR="00C631FC" w:rsidRPr="00582ADB" w:rsidRDefault="00C631FC" w:rsidP="00C631FC">
      <w:pPr>
        <w:pStyle w:val="ListParagraph"/>
        <w:ind w:left="1440"/>
        <w:rPr>
          <w:rFonts w:asciiTheme="majorHAnsi" w:hAnsiTheme="majorHAnsi" w:cstheme="majorHAnsi"/>
          <w:u w:val="single"/>
        </w:rPr>
      </w:pPr>
    </w:p>
    <w:p w14:paraId="12B173AB" w14:textId="77777777" w:rsidR="00C631FC" w:rsidRPr="00582ADB" w:rsidRDefault="00C631FC" w:rsidP="00C631FC">
      <w:pPr>
        <w:pStyle w:val="ListParagraph"/>
        <w:numPr>
          <w:ilvl w:val="2"/>
          <w:numId w:val="40"/>
        </w:numPr>
        <w:rPr>
          <w:rFonts w:asciiTheme="majorHAnsi" w:hAnsiTheme="majorHAnsi" w:cstheme="majorHAnsi"/>
        </w:rPr>
      </w:pPr>
      <w:r w:rsidRPr="00582ADB">
        <w:rPr>
          <w:rFonts w:asciiTheme="majorHAnsi" w:hAnsiTheme="majorHAnsi" w:cstheme="majorHAnsi"/>
          <w:i/>
        </w:rPr>
        <w:t>Background</w:t>
      </w:r>
      <w:r w:rsidRPr="00582ADB">
        <w:rPr>
          <w:rFonts w:asciiTheme="majorHAnsi" w:hAnsiTheme="majorHAnsi" w:cstheme="majorHAnsi"/>
        </w:rPr>
        <w:t xml:space="preserve">:  Per Docket Navigator, on average nationally, courts grant some relief in motions to stay pending IPR, post-grant review, or reexaminations about half of the time.  </w:t>
      </w:r>
    </w:p>
    <w:p w14:paraId="3CAF1341" w14:textId="77777777" w:rsidR="00C631FC" w:rsidRPr="00582ADB" w:rsidRDefault="00C631FC" w:rsidP="00C631FC">
      <w:pPr>
        <w:pStyle w:val="ListParagraph"/>
        <w:ind w:left="2160"/>
        <w:rPr>
          <w:rFonts w:asciiTheme="majorHAnsi" w:hAnsiTheme="majorHAnsi" w:cstheme="majorHAnsi"/>
        </w:rPr>
      </w:pPr>
    </w:p>
    <w:p w14:paraId="23827DEE" w14:textId="77777777" w:rsidR="00C631FC" w:rsidRPr="00582ADB" w:rsidRDefault="00C631FC" w:rsidP="00C631FC">
      <w:pPr>
        <w:pStyle w:val="ListParagraph"/>
        <w:numPr>
          <w:ilvl w:val="2"/>
          <w:numId w:val="40"/>
        </w:numPr>
        <w:rPr>
          <w:rFonts w:asciiTheme="majorHAnsi" w:hAnsiTheme="majorHAnsi" w:cstheme="majorHAnsi"/>
        </w:rPr>
      </w:pPr>
      <w:r w:rsidRPr="00582ADB">
        <w:rPr>
          <w:rFonts w:asciiTheme="majorHAnsi" w:hAnsiTheme="majorHAnsi" w:cstheme="majorHAnsi"/>
          <w:i/>
        </w:rPr>
        <w:t>Potential Question</w:t>
      </w:r>
      <w:r w:rsidRPr="00582ADB">
        <w:rPr>
          <w:rFonts w:asciiTheme="majorHAnsi" w:hAnsiTheme="majorHAnsi" w:cstheme="majorHAnsi"/>
        </w:rPr>
        <w:t xml:space="preserve">:  </w:t>
      </w:r>
      <w:r w:rsidRPr="00582ADB">
        <w:rPr>
          <w:rFonts w:asciiTheme="majorHAnsi" w:hAnsiTheme="majorHAnsi" w:cstheme="majorHAnsi"/>
          <w:b/>
        </w:rPr>
        <w:t>Judge Seeborg</w:t>
      </w:r>
      <w:r w:rsidRPr="00582ADB">
        <w:rPr>
          <w:rFonts w:asciiTheme="majorHAnsi" w:hAnsiTheme="majorHAnsi" w:cstheme="majorHAnsi"/>
        </w:rPr>
        <w:t xml:space="preserve">:  How do you view the PTAB and its role in resolving issues bearing on a patent dispute pending in federal </w:t>
      </w:r>
      <w:r w:rsidRPr="00582ADB">
        <w:rPr>
          <w:rFonts w:asciiTheme="majorHAnsi" w:hAnsiTheme="majorHAnsi" w:cstheme="majorHAnsi"/>
        </w:rPr>
        <w:lastRenderedPageBreak/>
        <w:t xml:space="preserve">court?  Should courts step aside when possible to allow the PTAB to reassess patentability of the claims?  </w:t>
      </w:r>
    </w:p>
    <w:p w14:paraId="6025DAB7" w14:textId="77777777" w:rsidR="00C631FC" w:rsidRPr="00582ADB" w:rsidRDefault="00C631FC" w:rsidP="00C631FC">
      <w:pPr>
        <w:pStyle w:val="ListParagraph"/>
        <w:rPr>
          <w:rFonts w:asciiTheme="majorHAnsi" w:hAnsiTheme="majorHAnsi" w:cstheme="majorHAnsi"/>
        </w:rPr>
      </w:pPr>
    </w:p>
    <w:p w14:paraId="042D3BED" w14:textId="6E265520" w:rsidR="00FD4F5F" w:rsidRPr="00D935F8" w:rsidRDefault="00C631FC" w:rsidP="00D935F8">
      <w:pPr>
        <w:pStyle w:val="ListParagraph"/>
        <w:numPr>
          <w:ilvl w:val="2"/>
          <w:numId w:val="40"/>
        </w:numPr>
        <w:rPr>
          <w:rFonts w:asciiTheme="majorHAnsi" w:hAnsiTheme="majorHAnsi" w:cstheme="majorHAnsi"/>
        </w:rPr>
      </w:pPr>
      <w:r w:rsidRPr="00582ADB">
        <w:rPr>
          <w:rFonts w:asciiTheme="majorHAnsi" w:hAnsiTheme="majorHAnsi" w:cstheme="majorHAnsi"/>
          <w:i/>
        </w:rPr>
        <w:t>Potential Question</w:t>
      </w:r>
      <w:r w:rsidRPr="00582ADB">
        <w:rPr>
          <w:rFonts w:asciiTheme="majorHAnsi" w:hAnsiTheme="majorHAnsi" w:cstheme="majorHAnsi"/>
        </w:rPr>
        <w:t xml:space="preserve">:  </w:t>
      </w:r>
      <w:r w:rsidRPr="00582ADB">
        <w:rPr>
          <w:rFonts w:asciiTheme="majorHAnsi" w:hAnsiTheme="majorHAnsi" w:cstheme="majorHAnsi"/>
          <w:b/>
        </w:rPr>
        <w:t>Judge Gilstrap</w:t>
      </w:r>
      <w:r w:rsidRPr="00582ADB">
        <w:rPr>
          <w:rFonts w:asciiTheme="majorHAnsi" w:hAnsiTheme="majorHAnsi" w:cstheme="majorHAnsi"/>
        </w:rPr>
        <w:t xml:space="preserve">, what role should the PTAB play in resolving issues relevant to a patent dispute pending in federal court?  Does staying a lawsuit pending PTAB proceedings do a disservice to the parties?  </w:t>
      </w:r>
    </w:p>
    <w:p w14:paraId="7E9F1813" w14:textId="4286E725" w:rsidR="000506AA" w:rsidRPr="0078217E" w:rsidRDefault="000506AA" w:rsidP="000506AA">
      <w:pPr>
        <w:rPr>
          <w:rFonts w:asciiTheme="majorHAnsi" w:hAnsiTheme="majorHAnsi" w:cstheme="majorHAnsi"/>
        </w:rPr>
      </w:pPr>
    </w:p>
    <w:p w14:paraId="386B8438" w14:textId="7CAA374C" w:rsidR="000506AA" w:rsidRPr="004C0527" w:rsidRDefault="000506AA" w:rsidP="000506AA">
      <w:pPr>
        <w:pStyle w:val="ListParagraph"/>
        <w:numPr>
          <w:ilvl w:val="0"/>
          <w:numId w:val="40"/>
        </w:numPr>
        <w:rPr>
          <w:rFonts w:asciiTheme="majorHAnsi" w:hAnsiTheme="majorHAnsi" w:cstheme="majorHAnsi"/>
          <w:b/>
        </w:rPr>
      </w:pPr>
      <w:r>
        <w:rPr>
          <w:rFonts w:asciiTheme="majorHAnsi" w:hAnsiTheme="majorHAnsi" w:cstheme="majorHAnsi"/>
          <w:b/>
        </w:rPr>
        <w:t>Learnings from COVID-19</w:t>
      </w:r>
    </w:p>
    <w:p w14:paraId="0FBC20CD" w14:textId="77777777" w:rsidR="000506AA" w:rsidRPr="0078217E" w:rsidRDefault="000506AA" w:rsidP="000506AA">
      <w:pPr>
        <w:rPr>
          <w:rFonts w:asciiTheme="majorHAnsi" w:hAnsiTheme="majorHAnsi" w:cstheme="majorHAnsi"/>
        </w:rPr>
      </w:pPr>
    </w:p>
    <w:p w14:paraId="3F4324C0" w14:textId="208FA76A" w:rsidR="000506AA" w:rsidRDefault="00670933" w:rsidP="000506AA">
      <w:pPr>
        <w:pStyle w:val="ListParagraph"/>
        <w:numPr>
          <w:ilvl w:val="1"/>
          <w:numId w:val="40"/>
        </w:numPr>
        <w:rPr>
          <w:rFonts w:asciiTheme="majorHAnsi" w:hAnsiTheme="majorHAnsi" w:cstheme="majorHAnsi"/>
          <w:u w:val="single"/>
        </w:rPr>
      </w:pPr>
      <w:r>
        <w:rPr>
          <w:rFonts w:asciiTheme="majorHAnsi" w:hAnsiTheme="majorHAnsi" w:cstheme="majorHAnsi"/>
          <w:i/>
          <w:u w:val="single"/>
        </w:rPr>
        <w:t xml:space="preserve">Necessity of in-person activities </w:t>
      </w:r>
    </w:p>
    <w:p w14:paraId="0DE5B025" w14:textId="77777777" w:rsidR="000506AA" w:rsidRPr="00466CF3" w:rsidRDefault="000506AA" w:rsidP="000506AA">
      <w:pPr>
        <w:pStyle w:val="ListParagraph"/>
        <w:ind w:left="1440"/>
        <w:rPr>
          <w:rFonts w:asciiTheme="majorHAnsi" w:hAnsiTheme="majorHAnsi" w:cstheme="majorHAnsi"/>
          <w:u w:val="single"/>
        </w:rPr>
      </w:pPr>
    </w:p>
    <w:p w14:paraId="2110F827" w14:textId="4477CC14" w:rsidR="006222D5" w:rsidRDefault="000506AA" w:rsidP="000506AA">
      <w:pPr>
        <w:pStyle w:val="ListParagraph"/>
        <w:numPr>
          <w:ilvl w:val="2"/>
          <w:numId w:val="40"/>
        </w:numPr>
        <w:rPr>
          <w:rFonts w:asciiTheme="majorHAnsi" w:hAnsiTheme="majorHAnsi" w:cstheme="majorHAnsi"/>
        </w:rPr>
      </w:pPr>
      <w:r w:rsidRPr="00466CF3">
        <w:rPr>
          <w:rFonts w:asciiTheme="majorHAnsi" w:hAnsiTheme="majorHAnsi" w:cstheme="majorHAnsi"/>
          <w:i/>
        </w:rPr>
        <w:t>Background</w:t>
      </w:r>
      <w:r>
        <w:rPr>
          <w:rFonts w:asciiTheme="majorHAnsi" w:hAnsiTheme="majorHAnsi" w:cstheme="majorHAnsi"/>
        </w:rPr>
        <w:t xml:space="preserve">:  </w:t>
      </w:r>
      <w:r w:rsidR="00670933">
        <w:rPr>
          <w:rFonts w:asciiTheme="majorHAnsi" w:hAnsiTheme="majorHAnsi" w:cstheme="majorHAnsi"/>
        </w:rPr>
        <w:t xml:space="preserve">Through the pandemic, most courts allowed some form of remote deposition and trial testimony, including in criminal cases.  </w:t>
      </w:r>
    </w:p>
    <w:p w14:paraId="42DCEDD6" w14:textId="77777777" w:rsidR="006222D5" w:rsidRDefault="006222D5" w:rsidP="00935A66">
      <w:pPr>
        <w:pStyle w:val="ListParagraph"/>
        <w:ind w:left="2160"/>
        <w:rPr>
          <w:rFonts w:asciiTheme="majorHAnsi" w:hAnsiTheme="majorHAnsi" w:cstheme="majorHAnsi"/>
        </w:rPr>
      </w:pPr>
    </w:p>
    <w:p w14:paraId="3FA33F7A" w14:textId="17ECA429" w:rsidR="000506AA" w:rsidRDefault="006222D5" w:rsidP="000506AA">
      <w:pPr>
        <w:pStyle w:val="ListParagraph"/>
        <w:numPr>
          <w:ilvl w:val="2"/>
          <w:numId w:val="40"/>
        </w:numPr>
        <w:rPr>
          <w:rFonts w:asciiTheme="majorHAnsi" w:hAnsiTheme="majorHAnsi" w:cstheme="majorHAnsi"/>
        </w:rPr>
      </w:pPr>
      <w:r w:rsidRPr="00466CF3">
        <w:rPr>
          <w:rFonts w:asciiTheme="majorHAnsi" w:hAnsiTheme="majorHAnsi" w:cstheme="majorHAnsi"/>
          <w:i/>
        </w:rPr>
        <w:t>Potential Question</w:t>
      </w:r>
      <w:r>
        <w:rPr>
          <w:rFonts w:asciiTheme="majorHAnsi" w:hAnsiTheme="majorHAnsi" w:cstheme="majorHAnsi"/>
        </w:rPr>
        <w:t>:</w:t>
      </w:r>
      <w:r w:rsidRPr="00466CF3">
        <w:rPr>
          <w:rFonts w:asciiTheme="majorHAnsi" w:hAnsiTheme="majorHAnsi" w:cstheme="majorHAnsi"/>
        </w:rPr>
        <w:t xml:space="preserve"> </w:t>
      </w:r>
      <w:r>
        <w:rPr>
          <w:rFonts w:asciiTheme="majorHAnsi" w:hAnsiTheme="majorHAnsi" w:cstheme="majorHAnsi"/>
        </w:rPr>
        <w:t xml:space="preserve"> </w:t>
      </w:r>
      <w:r w:rsidRPr="00A51821">
        <w:rPr>
          <w:rFonts w:asciiTheme="majorHAnsi" w:hAnsiTheme="majorHAnsi" w:cstheme="majorHAnsi"/>
          <w:b/>
        </w:rPr>
        <w:t>[Open</w:t>
      </w:r>
      <w:r>
        <w:rPr>
          <w:rFonts w:asciiTheme="majorHAnsi" w:hAnsiTheme="majorHAnsi" w:cstheme="majorHAnsi"/>
          <w:b/>
        </w:rPr>
        <w:t xml:space="preserve"> Question</w:t>
      </w:r>
      <w:r w:rsidRPr="00A51821">
        <w:rPr>
          <w:rFonts w:asciiTheme="majorHAnsi" w:hAnsiTheme="majorHAnsi" w:cstheme="majorHAnsi"/>
          <w:b/>
        </w:rPr>
        <w:t>]</w:t>
      </w:r>
      <w:r>
        <w:rPr>
          <w:rFonts w:asciiTheme="majorHAnsi" w:hAnsiTheme="majorHAnsi" w:cstheme="majorHAnsi"/>
        </w:rPr>
        <w:t xml:space="preserve">  </w:t>
      </w:r>
      <w:r w:rsidR="00670933">
        <w:rPr>
          <w:rFonts w:asciiTheme="majorHAnsi" w:hAnsiTheme="majorHAnsi" w:cstheme="majorHAnsi"/>
        </w:rPr>
        <w:t xml:space="preserve">Now that courts are mostly back to business as usual, are there any practices worth retaining to make litigation more efficient and affordable? </w:t>
      </w:r>
    </w:p>
    <w:p w14:paraId="74C70276" w14:textId="77777777" w:rsidR="000506AA" w:rsidRDefault="000506AA" w:rsidP="000506AA">
      <w:pPr>
        <w:pStyle w:val="ListParagraph"/>
        <w:ind w:left="2160"/>
        <w:rPr>
          <w:rFonts w:asciiTheme="majorHAnsi" w:hAnsiTheme="majorHAnsi" w:cstheme="majorHAnsi"/>
        </w:rPr>
      </w:pPr>
    </w:p>
    <w:p w14:paraId="11B64C3A" w14:textId="05161212" w:rsidR="000506AA" w:rsidRDefault="000506AA" w:rsidP="000506AA">
      <w:pPr>
        <w:pStyle w:val="ListParagraph"/>
        <w:numPr>
          <w:ilvl w:val="2"/>
          <w:numId w:val="40"/>
        </w:numPr>
        <w:rPr>
          <w:rFonts w:asciiTheme="majorHAnsi" w:hAnsiTheme="majorHAnsi" w:cstheme="majorHAnsi"/>
        </w:rPr>
      </w:pPr>
      <w:r w:rsidRPr="00466CF3">
        <w:rPr>
          <w:rFonts w:asciiTheme="majorHAnsi" w:hAnsiTheme="majorHAnsi" w:cstheme="majorHAnsi"/>
          <w:i/>
        </w:rPr>
        <w:t>Potential Question</w:t>
      </w:r>
      <w:r>
        <w:rPr>
          <w:rFonts w:asciiTheme="majorHAnsi" w:hAnsiTheme="majorHAnsi" w:cstheme="majorHAnsi"/>
        </w:rPr>
        <w:t>:</w:t>
      </w:r>
      <w:r w:rsidRPr="00466CF3">
        <w:rPr>
          <w:rFonts w:asciiTheme="majorHAnsi" w:hAnsiTheme="majorHAnsi" w:cstheme="majorHAnsi"/>
        </w:rPr>
        <w:t xml:space="preserve"> </w:t>
      </w:r>
      <w:r>
        <w:rPr>
          <w:rFonts w:asciiTheme="majorHAnsi" w:hAnsiTheme="majorHAnsi" w:cstheme="majorHAnsi"/>
        </w:rPr>
        <w:t xml:space="preserve"> </w:t>
      </w:r>
      <w:r w:rsidR="00A51821" w:rsidRPr="00A51821">
        <w:rPr>
          <w:rFonts w:asciiTheme="majorHAnsi" w:hAnsiTheme="majorHAnsi" w:cstheme="majorHAnsi"/>
          <w:b/>
        </w:rPr>
        <w:t>[Open</w:t>
      </w:r>
      <w:r w:rsidR="00A51821">
        <w:rPr>
          <w:rFonts w:asciiTheme="majorHAnsi" w:hAnsiTheme="majorHAnsi" w:cstheme="majorHAnsi"/>
          <w:b/>
        </w:rPr>
        <w:t xml:space="preserve"> Question</w:t>
      </w:r>
      <w:proofErr w:type="gramStart"/>
      <w:r w:rsidR="00A51821" w:rsidRPr="00A51821">
        <w:rPr>
          <w:rFonts w:asciiTheme="majorHAnsi" w:hAnsiTheme="majorHAnsi" w:cstheme="majorHAnsi"/>
          <w:b/>
        </w:rPr>
        <w:t>]</w:t>
      </w:r>
      <w:r w:rsidR="00A51821">
        <w:rPr>
          <w:rFonts w:asciiTheme="majorHAnsi" w:hAnsiTheme="majorHAnsi" w:cstheme="majorHAnsi"/>
        </w:rPr>
        <w:t xml:space="preserve">  </w:t>
      </w:r>
      <w:r w:rsidR="00670933">
        <w:rPr>
          <w:rFonts w:asciiTheme="majorHAnsi" w:hAnsiTheme="majorHAnsi" w:cstheme="majorHAnsi"/>
        </w:rPr>
        <w:t>Did</w:t>
      </w:r>
      <w:proofErr w:type="gramEnd"/>
      <w:r w:rsidR="00670933">
        <w:rPr>
          <w:rFonts w:asciiTheme="majorHAnsi" w:hAnsiTheme="majorHAnsi" w:cstheme="majorHAnsi"/>
        </w:rPr>
        <w:t xml:space="preserve"> any of the panelists find that witnesses testifying remotely prejudiced the administration of justice?   </w:t>
      </w:r>
    </w:p>
    <w:p w14:paraId="34FB0E68" w14:textId="77777777" w:rsidR="00B82E6A" w:rsidRPr="00B82E6A" w:rsidRDefault="00B82E6A" w:rsidP="00B82E6A">
      <w:pPr>
        <w:pStyle w:val="ListParagraph"/>
        <w:rPr>
          <w:rFonts w:asciiTheme="majorHAnsi" w:hAnsiTheme="majorHAnsi" w:cstheme="majorHAnsi"/>
        </w:rPr>
      </w:pPr>
    </w:p>
    <w:p w14:paraId="2DA3D227" w14:textId="420995A1" w:rsidR="00935A66" w:rsidRPr="004B1654" w:rsidRDefault="00935A66" w:rsidP="00D935F8">
      <w:pPr>
        <w:pStyle w:val="ListParagraph"/>
        <w:ind w:left="2160"/>
        <w:rPr>
          <w:rFonts w:asciiTheme="majorHAnsi" w:hAnsiTheme="majorHAnsi" w:cstheme="majorHAnsi"/>
        </w:rPr>
      </w:pPr>
    </w:p>
    <w:sectPr w:rsidR="00935A66" w:rsidRPr="004B1654" w:rsidSect="00727E49">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7D07C" w14:textId="77777777" w:rsidR="006F68AB" w:rsidRDefault="006F68AB" w:rsidP="00BF44A2">
      <w:r>
        <w:separator/>
      </w:r>
    </w:p>
  </w:endnote>
  <w:endnote w:type="continuationSeparator" w:id="0">
    <w:p w14:paraId="41C3F4C4" w14:textId="77777777" w:rsidR="006F68AB" w:rsidRDefault="006F68AB" w:rsidP="00BF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5031A" w14:textId="77777777" w:rsidR="00F2019E" w:rsidRDefault="00F2019E" w:rsidP="006506F0">
    <w:pPr>
      <w:pStyle w:val="Footer"/>
    </w:pPr>
  </w:p>
  <w:p w14:paraId="2209D0E6" w14:textId="00F6648D" w:rsidR="00F2019E" w:rsidRPr="006506F0" w:rsidRDefault="00F2019E" w:rsidP="006506F0">
    <w:pPr>
      <w:pStyle w:val="Footer"/>
      <w:jc w:val="center"/>
      <w:rPr>
        <w:i/>
      </w:rPr>
    </w:pPr>
    <w:r>
      <w:t xml:space="preserve">Page </w:t>
    </w:r>
    <w:r>
      <w:fldChar w:fldCharType="begin"/>
    </w:r>
    <w:r>
      <w:instrText xml:space="preserve"> PAGE   \* MERGEFORMAT </w:instrText>
    </w:r>
    <w:r>
      <w:fldChar w:fldCharType="separate"/>
    </w:r>
    <w:r w:rsidR="00B16C11">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56AB" w14:textId="2AF4D985" w:rsidR="00F2019E" w:rsidRDefault="00F2019E" w:rsidP="00CD645A">
    <w:pPr>
      <w:pStyle w:val="Footer"/>
    </w:pPr>
  </w:p>
  <w:p w14:paraId="7E53CF74" w14:textId="2728550C" w:rsidR="00F2019E" w:rsidRPr="00CD645A" w:rsidRDefault="00F2019E" w:rsidP="00CD645A">
    <w:pPr>
      <w:pStyle w:val="Footer"/>
      <w:jc w:val="center"/>
      <w:rPr>
        <w:i/>
      </w:rPr>
    </w:pPr>
    <w:r>
      <w:t xml:space="preserve">Page </w:t>
    </w:r>
    <w:r>
      <w:fldChar w:fldCharType="begin"/>
    </w:r>
    <w:r>
      <w:instrText xml:space="preserve"> PAGE   \* MERGEFORMAT </w:instrText>
    </w:r>
    <w:r>
      <w:fldChar w:fldCharType="separate"/>
    </w:r>
    <w:r w:rsidR="00B16C1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290CF" w14:textId="77777777" w:rsidR="006F68AB" w:rsidRDefault="006F68AB" w:rsidP="00BF44A2">
      <w:r>
        <w:separator/>
      </w:r>
    </w:p>
  </w:footnote>
  <w:footnote w:type="continuationSeparator" w:id="0">
    <w:p w14:paraId="27C201D9" w14:textId="77777777" w:rsidR="006F68AB" w:rsidRPr="00BF44A2" w:rsidRDefault="006F68AB" w:rsidP="00BF44A2">
      <w:r>
        <w:separator/>
      </w:r>
    </w:p>
  </w:footnote>
  <w:footnote w:type="continuationNotice" w:id="1">
    <w:p w14:paraId="6757EAA5" w14:textId="77777777" w:rsidR="006F68AB" w:rsidRDefault="006F68AB">
      <w:r>
        <w:t>(</w:t>
      </w:r>
      <w:proofErr w:type="gramStart"/>
      <w:r>
        <w:t>continued</w:t>
      </w:r>
      <w:proofErr w:type="gram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9882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96A11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1C30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D095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6E1D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B624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F22A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ECDC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8C14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C039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611BD"/>
    <w:multiLevelType w:val="hybridMultilevel"/>
    <w:tmpl w:val="AF20ED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2A653B"/>
    <w:multiLevelType w:val="hybridMultilevel"/>
    <w:tmpl w:val="5FFCCEC0"/>
    <w:lvl w:ilvl="0" w:tplc="F476E19A">
      <w:start w:val="1"/>
      <w:numFmt w:val="decimal"/>
      <w:pStyle w:val="NumberedParagraphSing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55679B"/>
    <w:multiLevelType w:val="multilevel"/>
    <w:tmpl w:val="E7541A2A"/>
    <w:numStyleLink w:val="ListNumbers"/>
  </w:abstractNum>
  <w:abstractNum w:abstractNumId="13" w15:restartNumberingAfterBreak="0">
    <w:nsid w:val="09983CA5"/>
    <w:multiLevelType w:val="hybridMultilevel"/>
    <w:tmpl w:val="F8929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D32419"/>
    <w:multiLevelType w:val="hybridMultilevel"/>
    <w:tmpl w:val="0354F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4811F7"/>
    <w:multiLevelType w:val="hybridMultilevel"/>
    <w:tmpl w:val="DF205194"/>
    <w:lvl w:ilvl="0" w:tplc="9C085498">
      <w:start w:val="1"/>
      <w:numFmt w:val="upperLetter"/>
      <w:pStyle w:val="LetteredParagraphSing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960B76"/>
    <w:multiLevelType w:val="hybridMultilevel"/>
    <w:tmpl w:val="DCD2F0EA"/>
    <w:lvl w:ilvl="0" w:tplc="55062CD8">
      <w:start w:val="1"/>
      <w:numFmt w:val="upperLetter"/>
      <w:pStyle w:val="LetteredParagraphDoub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511EAB"/>
    <w:multiLevelType w:val="hybridMultilevel"/>
    <w:tmpl w:val="3D72BD4A"/>
    <w:lvl w:ilvl="0" w:tplc="485A2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FF0437"/>
    <w:multiLevelType w:val="multilevel"/>
    <w:tmpl w:val="E7541A2A"/>
    <w:styleLink w:val="ListNumbers"/>
    <w:lvl w:ilvl="0">
      <w:start w:val="1"/>
      <w:numFmt w:val="decimal"/>
      <w:pStyle w:val="ListNumber"/>
      <w:lvlText w:val="%1."/>
      <w:lvlJc w:val="left"/>
      <w:pPr>
        <w:tabs>
          <w:tab w:val="num" w:pos="360"/>
        </w:tabs>
        <w:ind w:left="360" w:hanging="360"/>
      </w:pPr>
      <w:rPr>
        <w:rFonts w:hint="default"/>
      </w:rPr>
    </w:lvl>
    <w:lvl w:ilvl="1">
      <w:start w:val="1"/>
      <w:numFmt w:val="decimal"/>
      <w:pStyle w:val="ListNumber2"/>
      <w:lvlText w:val="%2."/>
      <w:lvlJc w:val="left"/>
      <w:pPr>
        <w:tabs>
          <w:tab w:val="num" w:pos="720"/>
        </w:tabs>
        <w:ind w:left="720" w:hanging="360"/>
      </w:pPr>
      <w:rPr>
        <w:rFonts w:hint="default"/>
      </w:rPr>
    </w:lvl>
    <w:lvl w:ilvl="2">
      <w:start w:val="1"/>
      <w:numFmt w:val="decimal"/>
      <w:pStyle w:val="ListNumber3"/>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decimal"/>
      <w:pStyle w:val="ListNumber5"/>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2C25307C"/>
    <w:multiLevelType w:val="hybridMultilevel"/>
    <w:tmpl w:val="21981BD4"/>
    <w:lvl w:ilvl="0" w:tplc="90E666E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0F3282"/>
    <w:multiLevelType w:val="multilevel"/>
    <w:tmpl w:val="371826C2"/>
    <w:styleLink w:val="CovingtonHeadings"/>
    <w:lvl w:ilvl="0">
      <w:start w:val="1"/>
      <w:numFmt w:val="upperRoman"/>
      <w:pStyle w:val="Heading1"/>
      <w:lvlText w:val="%1."/>
      <w:lvlJc w:val="left"/>
      <w:pPr>
        <w:tabs>
          <w:tab w:val="num" w:pos="720"/>
        </w:tabs>
        <w:ind w:left="720" w:hanging="720"/>
      </w:pPr>
      <w:rPr>
        <w:rFonts w:asciiTheme="majorHAnsi" w:hAnsiTheme="majorHAnsi" w:hint="default"/>
        <w:sz w:val="24"/>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5040"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21" w15:restartNumberingAfterBreak="0">
    <w:nsid w:val="37267B4C"/>
    <w:multiLevelType w:val="hybridMultilevel"/>
    <w:tmpl w:val="585C2AAC"/>
    <w:lvl w:ilvl="0" w:tplc="FC82C2EC">
      <w:start w:val="1"/>
      <w:numFmt w:val="decimal"/>
      <w:pStyle w:val="NumberedParagraphDoub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F97D0C"/>
    <w:multiLevelType w:val="hybridMultilevel"/>
    <w:tmpl w:val="27F8C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D0352A"/>
    <w:multiLevelType w:val="multilevel"/>
    <w:tmpl w:val="1C28AD60"/>
    <w:styleLink w:val="ListBullets"/>
    <w:lvl w:ilvl="0">
      <w:start w:val="1"/>
      <w:numFmt w:val="bullet"/>
      <w:pStyle w:val="ListBullet"/>
      <w:lvlText w:val=""/>
      <w:lvlJc w:val="left"/>
      <w:pPr>
        <w:tabs>
          <w:tab w:val="num" w:pos="360"/>
        </w:tabs>
        <w:ind w:left="360" w:hanging="360"/>
      </w:pPr>
      <w:rPr>
        <w:rFonts w:ascii="Symbol" w:hAnsi="Symbol" w:hint="default"/>
        <w:color w:val="auto"/>
      </w:rPr>
    </w:lvl>
    <w:lvl w:ilvl="1">
      <w:start w:val="1"/>
      <w:numFmt w:val="bullet"/>
      <w:pStyle w:val="ListBullet2"/>
      <w:lvlText w:val=""/>
      <w:lvlJc w:val="left"/>
      <w:pPr>
        <w:tabs>
          <w:tab w:val="num" w:pos="720"/>
        </w:tabs>
        <w:ind w:left="720" w:hanging="360"/>
      </w:pPr>
      <w:rPr>
        <w:rFonts w:ascii="Symbol" w:hAnsi="Symbol" w:hint="default"/>
        <w:color w:val="auto"/>
      </w:rPr>
    </w:lvl>
    <w:lvl w:ilvl="2">
      <w:start w:val="1"/>
      <w:numFmt w:val="bullet"/>
      <w:pStyle w:val="ListBullet3"/>
      <w:lvlText w:val=""/>
      <w:lvlJc w:val="left"/>
      <w:pPr>
        <w:tabs>
          <w:tab w:val="num" w:pos="1080"/>
        </w:tabs>
        <w:ind w:left="1080" w:hanging="360"/>
      </w:pPr>
      <w:rPr>
        <w:rFonts w:ascii="Symbol" w:hAnsi="Symbol" w:hint="default"/>
        <w:color w:val="auto"/>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tabs>
          <w:tab w:val="num" w:pos="1800"/>
        </w:tabs>
        <w:ind w:left="1800" w:hanging="360"/>
      </w:pPr>
      <w:rPr>
        <w:rFonts w:ascii="Symbol" w:hAnsi="Symbol" w:hint="default"/>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403A3040"/>
    <w:multiLevelType w:val="hybridMultilevel"/>
    <w:tmpl w:val="B5C25410"/>
    <w:lvl w:ilvl="0" w:tplc="2E7EE116">
      <w:start w:val="1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269B4"/>
    <w:multiLevelType w:val="hybridMultilevel"/>
    <w:tmpl w:val="9202FD12"/>
    <w:lvl w:ilvl="0" w:tplc="485A2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E230D9"/>
    <w:multiLevelType w:val="hybridMultilevel"/>
    <w:tmpl w:val="E8302210"/>
    <w:lvl w:ilvl="0" w:tplc="0409000F">
      <w:start w:val="1"/>
      <w:numFmt w:val="decimal"/>
      <w:lvlText w:val="%1."/>
      <w:lvlJc w:val="left"/>
      <w:pPr>
        <w:ind w:left="720" w:hanging="360"/>
      </w:pPr>
      <w:rPr>
        <w:rFonts w:hint="default"/>
      </w:rPr>
    </w:lvl>
    <w:lvl w:ilvl="1" w:tplc="176CD30C">
      <w:start w:val="1"/>
      <w:numFmt w:val="lowerLetter"/>
      <w:lvlText w:val="%2."/>
      <w:lvlJc w:val="left"/>
      <w:pPr>
        <w:ind w:left="1440" w:hanging="360"/>
      </w:pPr>
      <w:rPr>
        <w:b w:val="0"/>
      </w:rPr>
    </w:lvl>
    <w:lvl w:ilvl="2" w:tplc="CC6A7F7E">
      <w:start w:val="1"/>
      <w:numFmt w:val="lowerRoman"/>
      <w:lvlText w:val="%3."/>
      <w:lvlJc w:val="right"/>
      <w:pPr>
        <w:ind w:left="2160" w:hanging="180"/>
      </w:pPr>
      <w:rPr>
        <w:b w:val="0"/>
      </w:rPr>
    </w:lvl>
    <w:lvl w:ilvl="3" w:tplc="6054DE52">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3C6DA8"/>
    <w:multiLevelType w:val="hybridMultilevel"/>
    <w:tmpl w:val="21CAA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AF3513"/>
    <w:multiLevelType w:val="hybridMultilevel"/>
    <w:tmpl w:val="90A8FD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C6A7F7E">
      <w:start w:val="1"/>
      <w:numFmt w:val="lowerRoman"/>
      <w:lvlText w:val="%3."/>
      <w:lvlJc w:val="right"/>
      <w:pPr>
        <w:ind w:left="2160" w:hanging="180"/>
      </w:pPr>
      <w:rPr>
        <w:b w:val="0"/>
      </w:rPr>
    </w:lvl>
    <w:lvl w:ilvl="3" w:tplc="6054DE52">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1C4839"/>
    <w:multiLevelType w:val="hybridMultilevel"/>
    <w:tmpl w:val="85AA5582"/>
    <w:lvl w:ilvl="0" w:tplc="8B329B4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BC2E01"/>
    <w:multiLevelType w:val="hybridMultilevel"/>
    <w:tmpl w:val="366C22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A80820"/>
    <w:multiLevelType w:val="hybridMultilevel"/>
    <w:tmpl w:val="BAFAABAC"/>
    <w:lvl w:ilvl="0" w:tplc="69926C5E">
      <w:start w:val="1"/>
      <w:numFmt w:val="decimal"/>
      <w:lvlText w:val="%1."/>
      <w:lvlJc w:val="left"/>
      <w:pPr>
        <w:ind w:left="720" w:hanging="360"/>
      </w:pPr>
      <w:rPr>
        <w:rFonts w:hint="default"/>
        <w:b w:val="0"/>
      </w:rPr>
    </w:lvl>
    <w:lvl w:ilvl="1" w:tplc="CE38CAD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531461"/>
    <w:multiLevelType w:val="multilevel"/>
    <w:tmpl w:val="1C28AD60"/>
    <w:numStyleLink w:val="ListBullets"/>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20"/>
  </w:num>
  <w:num w:numId="20">
    <w:abstractNumId w:val="20"/>
  </w:num>
  <w:num w:numId="21">
    <w:abstractNumId w:val="20"/>
  </w:num>
  <w:num w:numId="22">
    <w:abstractNumId w:val="23"/>
  </w:num>
  <w:num w:numId="23">
    <w:abstractNumId w:val="18"/>
  </w:num>
  <w:num w:numId="24">
    <w:abstractNumId w:val="16"/>
  </w:num>
  <w:num w:numId="25">
    <w:abstractNumId w:val="15"/>
  </w:num>
  <w:num w:numId="26">
    <w:abstractNumId w:val="21"/>
  </w:num>
  <w:num w:numId="27">
    <w:abstractNumId w:val="11"/>
  </w:num>
  <w:num w:numId="28">
    <w:abstractNumId w:val="32"/>
  </w:num>
  <w:num w:numId="29">
    <w:abstractNumId w:val="12"/>
  </w:num>
  <w:num w:numId="30">
    <w:abstractNumId w:val="14"/>
  </w:num>
  <w:num w:numId="31">
    <w:abstractNumId w:val="19"/>
  </w:num>
  <w:num w:numId="32">
    <w:abstractNumId w:val="27"/>
  </w:num>
  <w:num w:numId="33">
    <w:abstractNumId w:val="24"/>
  </w:num>
  <w:num w:numId="34">
    <w:abstractNumId w:val="30"/>
  </w:num>
  <w:num w:numId="35">
    <w:abstractNumId w:val="22"/>
  </w:num>
  <w:num w:numId="36">
    <w:abstractNumId w:val="22"/>
  </w:num>
  <w:num w:numId="37">
    <w:abstractNumId w:val="17"/>
  </w:num>
  <w:num w:numId="38">
    <w:abstractNumId w:val="25"/>
  </w:num>
  <w:num w:numId="39">
    <w:abstractNumId w:val="29"/>
  </w:num>
  <w:num w:numId="40">
    <w:abstractNumId w:val="26"/>
  </w:num>
  <w:num w:numId="41">
    <w:abstractNumId w:val="31"/>
  </w:num>
  <w:num w:numId="42">
    <w:abstractNumId w:val="10"/>
  </w:num>
  <w:num w:numId="43">
    <w:abstractNumId w:val="13"/>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A6E"/>
    <w:rsid w:val="000320EE"/>
    <w:rsid w:val="000506AA"/>
    <w:rsid w:val="000530EA"/>
    <w:rsid w:val="000557F1"/>
    <w:rsid w:val="0006088C"/>
    <w:rsid w:val="00060F4F"/>
    <w:rsid w:val="0006433B"/>
    <w:rsid w:val="000728DC"/>
    <w:rsid w:val="000A3C03"/>
    <w:rsid w:val="000C30BF"/>
    <w:rsid w:val="000D5EF4"/>
    <w:rsid w:val="000E5B73"/>
    <w:rsid w:val="000E72A7"/>
    <w:rsid w:val="000F68D1"/>
    <w:rsid w:val="001057B5"/>
    <w:rsid w:val="00116484"/>
    <w:rsid w:val="00125D55"/>
    <w:rsid w:val="00130E77"/>
    <w:rsid w:val="0013357F"/>
    <w:rsid w:val="00133AC1"/>
    <w:rsid w:val="00153395"/>
    <w:rsid w:val="00160674"/>
    <w:rsid w:val="0016534E"/>
    <w:rsid w:val="001706D8"/>
    <w:rsid w:val="00181C33"/>
    <w:rsid w:val="00182ED3"/>
    <w:rsid w:val="00190C14"/>
    <w:rsid w:val="00192EFD"/>
    <w:rsid w:val="001A0907"/>
    <w:rsid w:val="001A12A3"/>
    <w:rsid w:val="001A27C6"/>
    <w:rsid w:val="001B26CF"/>
    <w:rsid w:val="001B364F"/>
    <w:rsid w:val="001C328B"/>
    <w:rsid w:val="001C5B73"/>
    <w:rsid w:val="001D196C"/>
    <w:rsid w:val="001D7271"/>
    <w:rsid w:val="001E0028"/>
    <w:rsid w:val="00233E7F"/>
    <w:rsid w:val="00245A1C"/>
    <w:rsid w:val="0026443A"/>
    <w:rsid w:val="0026752C"/>
    <w:rsid w:val="00282D38"/>
    <w:rsid w:val="002904F2"/>
    <w:rsid w:val="0029246E"/>
    <w:rsid w:val="002A361E"/>
    <w:rsid w:val="002A39F9"/>
    <w:rsid w:val="002A4F0E"/>
    <w:rsid w:val="002B1133"/>
    <w:rsid w:val="002D40C4"/>
    <w:rsid w:val="002D6EA6"/>
    <w:rsid w:val="002F2010"/>
    <w:rsid w:val="00317C01"/>
    <w:rsid w:val="00340D67"/>
    <w:rsid w:val="00345402"/>
    <w:rsid w:val="00346BF1"/>
    <w:rsid w:val="003534AC"/>
    <w:rsid w:val="003546A8"/>
    <w:rsid w:val="0036561D"/>
    <w:rsid w:val="00367417"/>
    <w:rsid w:val="003721FA"/>
    <w:rsid w:val="003A5D35"/>
    <w:rsid w:val="003B49FC"/>
    <w:rsid w:val="003B6EF3"/>
    <w:rsid w:val="003D23EE"/>
    <w:rsid w:val="003D605A"/>
    <w:rsid w:val="003D7EC0"/>
    <w:rsid w:val="003E4CA8"/>
    <w:rsid w:val="003E6F0E"/>
    <w:rsid w:val="003E7F0C"/>
    <w:rsid w:val="003F2152"/>
    <w:rsid w:val="003F2E71"/>
    <w:rsid w:val="003F737A"/>
    <w:rsid w:val="004047ED"/>
    <w:rsid w:val="00405583"/>
    <w:rsid w:val="00405CF8"/>
    <w:rsid w:val="004067CC"/>
    <w:rsid w:val="0042039B"/>
    <w:rsid w:val="0044236A"/>
    <w:rsid w:val="004450CE"/>
    <w:rsid w:val="00447012"/>
    <w:rsid w:val="00466CF3"/>
    <w:rsid w:val="004757AA"/>
    <w:rsid w:val="00477584"/>
    <w:rsid w:val="00491E43"/>
    <w:rsid w:val="004A25AB"/>
    <w:rsid w:val="004A4998"/>
    <w:rsid w:val="004A4CEA"/>
    <w:rsid w:val="004A6B28"/>
    <w:rsid w:val="004B1654"/>
    <w:rsid w:val="004B55F5"/>
    <w:rsid w:val="004B6CD0"/>
    <w:rsid w:val="004C0527"/>
    <w:rsid w:val="004C2E4B"/>
    <w:rsid w:val="004C3234"/>
    <w:rsid w:val="004D4CC9"/>
    <w:rsid w:val="004E5461"/>
    <w:rsid w:val="004E62E1"/>
    <w:rsid w:val="004F1BC9"/>
    <w:rsid w:val="004F3661"/>
    <w:rsid w:val="00502F44"/>
    <w:rsid w:val="005044D4"/>
    <w:rsid w:val="00545F58"/>
    <w:rsid w:val="00552648"/>
    <w:rsid w:val="00570907"/>
    <w:rsid w:val="00583A56"/>
    <w:rsid w:val="00585238"/>
    <w:rsid w:val="00595ED8"/>
    <w:rsid w:val="005A52B1"/>
    <w:rsid w:val="005B3BC4"/>
    <w:rsid w:val="005B3EA4"/>
    <w:rsid w:val="005B4A43"/>
    <w:rsid w:val="005C4E86"/>
    <w:rsid w:val="005E0874"/>
    <w:rsid w:val="005E45BA"/>
    <w:rsid w:val="005E5A47"/>
    <w:rsid w:val="005F4D31"/>
    <w:rsid w:val="006222D5"/>
    <w:rsid w:val="00625F61"/>
    <w:rsid w:val="006269CD"/>
    <w:rsid w:val="006277E0"/>
    <w:rsid w:val="006369B0"/>
    <w:rsid w:val="006506F0"/>
    <w:rsid w:val="00655A6B"/>
    <w:rsid w:val="00670484"/>
    <w:rsid w:val="00670933"/>
    <w:rsid w:val="00670B98"/>
    <w:rsid w:val="00680612"/>
    <w:rsid w:val="006910E6"/>
    <w:rsid w:val="00693F7A"/>
    <w:rsid w:val="00696796"/>
    <w:rsid w:val="006A5EF8"/>
    <w:rsid w:val="006B3D6C"/>
    <w:rsid w:val="006D05FB"/>
    <w:rsid w:val="006D4A44"/>
    <w:rsid w:val="006E72C2"/>
    <w:rsid w:val="006F68AB"/>
    <w:rsid w:val="0070038F"/>
    <w:rsid w:val="007063E3"/>
    <w:rsid w:val="007136A9"/>
    <w:rsid w:val="00720229"/>
    <w:rsid w:val="00727E49"/>
    <w:rsid w:val="00730EF7"/>
    <w:rsid w:val="00751720"/>
    <w:rsid w:val="007610E8"/>
    <w:rsid w:val="007760A6"/>
    <w:rsid w:val="0078149B"/>
    <w:rsid w:val="0078217E"/>
    <w:rsid w:val="00791FC5"/>
    <w:rsid w:val="00792282"/>
    <w:rsid w:val="007A1582"/>
    <w:rsid w:val="007A7997"/>
    <w:rsid w:val="007B6427"/>
    <w:rsid w:val="007D0E7F"/>
    <w:rsid w:val="007E248F"/>
    <w:rsid w:val="007E3AED"/>
    <w:rsid w:val="007F307C"/>
    <w:rsid w:val="00815D44"/>
    <w:rsid w:val="008201FD"/>
    <w:rsid w:val="00821F2E"/>
    <w:rsid w:val="00822577"/>
    <w:rsid w:val="00822B17"/>
    <w:rsid w:val="00856BC4"/>
    <w:rsid w:val="008832E0"/>
    <w:rsid w:val="008A1066"/>
    <w:rsid w:val="008A3135"/>
    <w:rsid w:val="008A7853"/>
    <w:rsid w:val="008B1E39"/>
    <w:rsid w:val="008B2D9F"/>
    <w:rsid w:val="008C1E98"/>
    <w:rsid w:val="008D0257"/>
    <w:rsid w:val="008E08A2"/>
    <w:rsid w:val="008F258A"/>
    <w:rsid w:val="008F3215"/>
    <w:rsid w:val="008F72F1"/>
    <w:rsid w:val="00935A66"/>
    <w:rsid w:val="00965366"/>
    <w:rsid w:val="009675E8"/>
    <w:rsid w:val="009735D7"/>
    <w:rsid w:val="0097691C"/>
    <w:rsid w:val="00991E72"/>
    <w:rsid w:val="009956F6"/>
    <w:rsid w:val="009D217C"/>
    <w:rsid w:val="009D6B7C"/>
    <w:rsid w:val="00A123B0"/>
    <w:rsid w:val="00A1752D"/>
    <w:rsid w:val="00A264C2"/>
    <w:rsid w:val="00A3705B"/>
    <w:rsid w:val="00A402B3"/>
    <w:rsid w:val="00A40D02"/>
    <w:rsid w:val="00A46AE9"/>
    <w:rsid w:val="00A46D2D"/>
    <w:rsid w:val="00A51821"/>
    <w:rsid w:val="00A63E1D"/>
    <w:rsid w:val="00A6599C"/>
    <w:rsid w:val="00A66AA9"/>
    <w:rsid w:val="00A7566F"/>
    <w:rsid w:val="00A82036"/>
    <w:rsid w:val="00A87484"/>
    <w:rsid w:val="00AA6CF0"/>
    <w:rsid w:val="00AA74B9"/>
    <w:rsid w:val="00AB3BC5"/>
    <w:rsid w:val="00AC4160"/>
    <w:rsid w:val="00AC46D5"/>
    <w:rsid w:val="00AC7A92"/>
    <w:rsid w:val="00AD46F5"/>
    <w:rsid w:val="00AE441B"/>
    <w:rsid w:val="00AF7739"/>
    <w:rsid w:val="00B072F7"/>
    <w:rsid w:val="00B1162D"/>
    <w:rsid w:val="00B160B0"/>
    <w:rsid w:val="00B16C11"/>
    <w:rsid w:val="00B66DA1"/>
    <w:rsid w:val="00B82E6A"/>
    <w:rsid w:val="00B9360C"/>
    <w:rsid w:val="00BA3F32"/>
    <w:rsid w:val="00BB207A"/>
    <w:rsid w:val="00BF1E74"/>
    <w:rsid w:val="00BF1FCE"/>
    <w:rsid w:val="00BF44A2"/>
    <w:rsid w:val="00BF5531"/>
    <w:rsid w:val="00C119CB"/>
    <w:rsid w:val="00C20ECF"/>
    <w:rsid w:val="00C277DD"/>
    <w:rsid w:val="00C33EF3"/>
    <w:rsid w:val="00C53F77"/>
    <w:rsid w:val="00C54846"/>
    <w:rsid w:val="00C60996"/>
    <w:rsid w:val="00C60A21"/>
    <w:rsid w:val="00C631FC"/>
    <w:rsid w:val="00C66891"/>
    <w:rsid w:val="00C836E5"/>
    <w:rsid w:val="00C840DD"/>
    <w:rsid w:val="00C90FD2"/>
    <w:rsid w:val="00CA0673"/>
    <w:rsid w:val="00CB295B"/>
    <w:rsid w:val="00CB4DFE"/>
    <w:rsid w:val="00CC750B"/>
    <w:rsid w:val="00CD645A"/>
    <w:rsid w:val="00CD7FF9"/>
    <w:rsid w:val="00CE70C4"/>
    <w:rsid w:val="00CE7291"/>
    <w:rsid w:val="00CF2700"/>
    <w:rsid w:val="00CF291E"/>
    <w:rsid w:val="00D02682"/>
    <w:rsid w:val="00D0347E"/>
    <w:rsid w:val="00D16105"/>
    <w:rsid w:val="00D24FC4"/>
    <w:rsid w:val="00D32A0F"/>
    <w:rsid w:val="00D67169"/>
    <w:rsid w:val="00D71515"/>
    <w:rsid w:val="00D84E16"/>
    <w:rsid w:val="00D87DCD"/>
    <w:rsid w:val="00D935F8"/>
    <w:rsid w:val="00DA1E9F"/>
    <w:rsid w:val="00DA4940"/>
    <w:rsid w:val="00DB2F2E"/>
    <w:rsid w:val="00DD7FDA"/>
    <w:rsid w:val="00E06AE9"/>
    <w:rsid w:val="00E936BE"/>
    <w:rsid w:val="00E97643"/>
    <w:rsid w:val="00EA396E"/>
    <w:rsid w:val="00EA58D8"/>
    <w:rsid w:val="00EB3F9A"/>
    <w:rsid w:val="00EC3744"/>
    <w:rsid w:val="00EC4C8F"/>
    <w:rsid w:val="00ED0035"/>
    <w:rsid w:val="00ED2A6E"/>
    <w:rsid w:val="00F13BDD"/>
    <w:rsid w:val="00F2019E"/>
    <w:rsid w:val="00F24984"/>
    <w:rsid w:val="00F27900"/>
    <w:rsid w:val="00F30B3A"/>
    <w:rsid w:val="00F30ED6"/>
    <w:rsid w:val="00F439C4"/>
    <w:rsid w:val="00F50360"/>
    <w:rsid w:val="00F53563"/>
    <w:rsid w:val="00F541DF"/>
    <w:rsid w:val="00F550BF"/>
    <w:rsid w:val="00F85B2A"/>
    <w:rsid w:val="00F85EAA"/>
    <w:rsid w:val="00F90162"/>
    <w:rsid w:val="00FA122C"/>
    <w:rsid w:val="00FA2C60"/>
    <w:rsid w:val="00FA707A"/>
    <w:rsid w:val="00FB1BD2"/>
    <w:rsid w:val="00FC5C79"/>
    <w:rsid w:val="00FD4F5F"/>
    <w:rsid w:val="00FD5F0B"/>
    <w:rsid w:val="00FE52A6"/>
    <w:rsid w:val="00FF5714"/>
    <w:rsid w:val="00FF638C"/>
    <w:rsid w:val="00FF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62A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9"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5" w:unhideWhenUsed="1" w:qFormat="1"/>
    <w:lsdException w:name="List Bullet" w:uiPriority="6" w:unhideWhenUsed="1" w:qFormat="1"/>
    <w:lsdException w:name="List Number" w:uiPriority="7" w:qFormat="1"/>
    <w:lsdException w:name="List 2" w:uiPriority="5" w:unhideWhenUsed="1" w:qFormat="1"/>
    <w:lsdException w:name="List 3" w:uiPriority="5" w:unhideWhenUsed="1"/>
    <w:lsdException w:name="List 4" w:uiPriority="5"/>
    <w:lsdException w:name="List 5" w:uiPriority="5"/>
    <w:lsdException w:name="List Bullet 2" w:uiPriority="6" w:unhideWhenUsed="1" w:qFormat="1"/>
    <w:lsdException w:name="List Bullet 3" w:uiPriority="6" w:unhideWhenUsed="1"/>
    <w:lsdException w:name="List Bullet 4" w:uiPriority="6" w:unhideWhenUsed="1"/>
    <w:lsdException w:name="List Bullet 5" w:uiPriority="6" w:unhideWhenUsed="1"/>
    <w:lsdException w:name="List Number 2" w:uiPriority="7" w:unhideWhenUsed="1" w:qFormat="1"/>
    <w:lsdException w:name="List Number 3" w:uiPriority="7" w:unhideWhenUsed="1"/>
    <w:lsdException w:name="List Number 4" w:uiPriority="7" w:unhideWhenUsed="1"/>
    <w:lsdException w:name="List Number 5" w:uiPriority="7"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uiPriority="8" w:unhideWhenUsed="1" w:qFormat="1"/>
    <w:lsdException w:name="List Continue 2" w:uiPriority="8" w:unhideWhenUsed="1" w:qFormat="1"/>
    <w:lsdException w:name="List Continue 3" w:uiPriority="8" w:unhideWhenUsed="1"/>
    <w:lsdException w:name="List Continue 4" w:uiPriority="8" w:unhideWhenUsed="1"/>
    <w:lsdException w:name="List Continue 5" w:uiPriority="8"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B82E6A"/>
  </w:style>
  <w:style w:type="paragraph" w:styleId="Heading1">
    <w:name w:val="heading 1"/>
    <w:basedOn w:val="Normal"/>
    <w:link w:val="Heading1Char"/>
    <w:uiPriority w:val="4"/>
    <w:qFormat/>
    <w:rsid w:val="00A6599C"/>
    <w:pPr>
      <w:numPr>
        <w:numId w:val="21"/>
      </w:numPr>
      <w:spacing w:after="240"/>
      <w:outlineLvl w:val="0"/>
    </w:pPr>
    <w:rPr>
      <w:rFonts w:asciiTheme="majorHAnsi" w:eastAsiaTheme="majorEastAsia" w:hAnsiTheme="majorHAnsi" w:cstheme="majorBidi"/>
      <w:bCs/>
      <w:szCs w:val="28"/>
    </w:rPr>
  </w:style>
  <w:style w:type="paragraph" w:styleId="Heading2">
    <w:name w:val="heading 2"/>
    <w:basedOn w:val="Normal"/>
    <w:link w:val="Heading2Char"/>
    <w:uiPriority w:val="4"/>
    <w:qFormat/>
    <w:rsid w:val="00A6599C"/>
    <w:pPr>
      <w:numPr>
        <w:ilvl w:val="1"/>
        <w:numId w:val="21"/>
      </w:numPr>
      <w:spacing w:after="240"/>
      <w:outlineLvl w:val="1"/>
    </w:pPr>
    <w:rPr>
      <w:rFonts w:asciiTheme="majorHAnsi" w:eastAsiaTheme="majorEastAsia" w:hAnsiTheme="majorHAnsi" w:cstheme="majorBidi"/>
      <w:bCs/>
      <w:szCs w:val="26"/>
    </w:rPr>
  </w:style>
  <w:style w:type="paragraph" w:styleId="Heading3">
    <w:name w:val="heading 3"/>
    <w:basedOn w:val="Normal"/>
    <w:link w:val="Heading3Char"/>
    <w:uiPriority w:val="4"/>
    <w:qFormat/>
    <w:rsid w:val="00A6599C"/>
    <w:pPr>
      <w:numPr>
        <w:ilvl w:val="2"/>
        <w:numId w:val="21"/>
      </w:numPr>
      <w:spacing w:after="240"/>
      <w:outlineLvl w:val="2"/>
    </w:pPr>
    <w:rPr>
      <w:rFonts w:asciiTheme="majorHAnsi" w:eastAsiaTheme="majorEastAsia" w:hAnsiTheme="majorHAnsi" w:cstheme="majorBidi"/>
      <w:bCs/>
    </w:rPr>
  </w:style>
  <w:style w:type="paragraph" w:styleId="Heading4">
    <w:name w:val="heading 4"/>
    <w:basedOn w:val="Normal"/>
    <w:link w:val="Heading4Char"/>
    <w:uiPriority w:val="4"/>
    <w:qFormat/>
    <w:rsid w:val="00A6599C"/>
    <w:pPr>
      <w:numPr>
        <w:ilvl w:val="3"/>
        <w:numId w:val="21"/>
      </w:numPr>
      <w:spacing w:after="240"/>
      <w:outlineLvl w:val="3"/>
    </w:pPr>
    <w:rPr>
      <w:rFonts w:asciiTheme="majorHAnsi" w:eastAsiaTheme="majorEastAsia" w:hAnsiTheme="majorHAnsi" w:cstheme="majorBidi"/>
      <w:bCs/>
      <w:iCs/>
    </w:rPr>
  </w:style>
  <w:style w:type="paragraph" w:styleId="Heading5">
    <w:name w:val="heading 5"/>
    <w:basedOn w:val="Normal"/>
    <w:link w:val="Heading5Char"/>
    <w:uiPriority w:val="4"/>
    <w:qFormat/>
    <w:rsid w:val="00A6599C"/>
    <w:pPr>
      <w:numPr>
        <w:ilvl w:val="4"/>
        <w:numId w:val="21"/>
      </w:numPr>
      <w:spacing w:after="240"/>
      <w:outlineLvl w:val="4"/>
    </w:pPr>
    <w:rPr>
      <w:rFonts w:asciiTheme="majorHAnsi" w:eastAsiaTheme="majorEastAsia" w:hAnsiTheme="majorHAnsi" w:cstheme="majorBidi"/>
    </w:rPr>
  </w:style>
  <w:style w:type="paragraph" w:styleId="Heading6">
    <w:name w:val="heading 6"/>
    <w:basedOn w:val="Normal"/>
    <w:link w:val="Heading6Char"/>
    <w:uiPriority w:val="4"/>
    <w:qFormat/>
    <w:rsid w:val="00A6599C"/>
    <w:pPr>
      <w:numPr>
        <w:ilvl w:val="5"/>
        <w:numId w:val="21"/>
      </w:numPr>
      <w:spacing w:after="240"/>
      <w:outlineLvl w:val="5"/>
    </w:pPr>
    <w:rPr>
      <w:rFonts w:asciiTheme="majorHAnsi" w:eastAsiaTheme="majorEastAsia" w:hAnsiTheme="majorHAnsi" w:cstheme="majorBidi"/>
      <w:iCs/>
    </w:rPr>
  </w:style>
  <w:style w:type="paragraph" w:styleId="Heading7">
    <w:name w:val="heading 7"/>
    <w:basedOn w:val="Normal"/>
    <w:link w:val="Heading7Char"/>
    <w:uiPriority w:val="4"/>
    <w:qFormat/>
    <w:rsid w:val="00A6599C"/>
    <w:pPr>
      <w:numPr>
        <w:ilvl w:val="6"/>
        <w:numId w:val="21"/>
      </w:numPr>
      <w:spacing w:after="240"/>
      <w:outlineLvl w:val="6"/>
    </w:pPr>
    <w:rPr>
      <w:rFonts w:asciiTheme="majorHAnsi" w:eastAsiaTheme="majorEastAsia" w:hAnsiTheme="majorHAnsi" w:cstheme="majorBidi"/>
      <w:iCs/>
    </w:rPr>
  </w:style>
  <w:style w:type="paragraph" w:styleId="Heading8">
    <w:name w:val="heading 8"/>
    <w:basedOn w:val="Normal"/>
    <w:link w:val="Heading8Char"/>
    <w:uiPriority w:val="4"/>
    <w:qFormat/>
    <w:rsid w:val="00A6599C"/>
    <w:pPr>
      <w:numPr>
        <w:ilvl w:val="7"/>
        <w:numId w:val="21"/>
      </w:numPr>
      <w:spacing w:after="240"/>
      <w:outlineLvl w:val="7"/>
    </w:pPr>
    <w:rPr>
      <w:rFonts w:asciiTheme="majorHAnsi" w:eastAsiaTheme="majorEastAsia" w:hAnsiTheme="majorHAnsi" w:cstheme="majorBidi"/>
      <w:szCs w:val="20"/>
    </w:rPr>
  </w:style>
  <w:style w:type="paragraph" w:styleId="Heading9">
    <w:name w:val="heading 9"/>
    <w:basedOn w:val="Normal"/>
    <w:link w:val="Heading9Char"/>
    <w:uiPriority w:val="4"/>
    <w:qFormat/>
    <w:rsid w:val="00A6599C"/>
    <w:pPr>
      <w:numPr>
        <w:ilvl w:val="8"/>
        <w:numId w:val="21"/>
      </w:numPr>
      <w:spacing w:after="24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66891"/>
    <w:pPr>
      <w:spacing w:after="240"/>
    </w:pPr>
  </w:style>
  <w:style w:type="character" w:customStyle="1" w:styleId="BodyTextChar">
    <w:name w:val="Body Text Char"/>
    <w:basedOn w:val="DefaultParagraphFont"/>
    <w:link w:val="BodyText"/>
    <w:rsid w:val="00C66891"/>
  </w:style>
  <w:style w:type="paragraph" w:styleId="BodyText2">
    <w:name w:val="Body Text 2"/>
    <w:basedOn w:val="BodyText"/>
    <w:link w:val="BodyText2Char"/>
    <w:uiPriority w:val="99"/>
    <w:rsid w:val="00C66891"/>
    <w:pPr>
      <w:spacing w:after="0" w:line="480" w:lineRule="auto"/>
    </w:pPr>
  </w:style>
  <w:style w:type="character" w:customStyle="1" w:styleId="BodyText2Char">
    <w:name w:val="Body Text 2 Char"/>
    <w:basedOn w:val="DefaultParagraphFont"/>
    <w:link w:val="BodyText2"/>
    <w:uiPriority w:val="99"/>
    <w:rsid w:val="00C66891"/>
  </w:style>
  <w:style w:type="paragraph" w:styleId="BodyTextFirstIndent">
    <w:name w:val="Body Text First Indent"/>
    <w:basedOn w:val="BodyText"/>
    <w:link w:val="BodyTextFirstIndentChar"/>
    <w:qFormat/>
    <w:rsid w:val="00C66891"/>
    <w:pPr>
      <w:ind w:firstLine="1440"/>
    </w:pPr>
  </w:style>
  <w:style w:type="character" w:customStyle="1" w:styleId="BodyTextFirstIndentChar">
    <w:name w:val="Body Text First Indent Char"/>
    <w:basedOn w:val="BodyTextChar"/>
    <w:link w:val="BodyTextFirstIndent"/>
    <w:rsid w:val="00C66891"/>
  </w:style>
  <w:style w:type="paragraph" w:styleId="BodyTextIndent">
    <w:name w:val="Body Text Indent"/>
    <w:basedOn w:val="BodyText"/>
    <w:link w:val="BodyTextIndentChar"/>
    <w:rsid w:val="00C66891"/>
    <w:pPr>
      <w:ind w:left="1440"/>
    </w:pPr>
  </w:style>
  <w:style w:type="character" w:customStyle="1" w:styleId="BodyTextIndentChar">
    <w:name w:val="Body Text Indent Char"/>
    <w:basedOn w:val="DefaultParagraphFont"/>
    <w:link w:val="BodyTextIndent"/>
    <w:rsid w:val="00C66891"/>
  </w:style>
  <w:style w:type="paragraph" w:styleId="BodyTextFirstIndent2">
    <w:name w:val="Body Text First Indent 2"/>
    <w:basedOn w:val="BodyTextFirstIndent"/>
    <w:link w:val="BodyTextFirstIndent2Char"/>
    <w:rsid w:val="00C66891"/>
    <w:pPr>
      <w:spacing w:after="0" w:line="480" w:lineRule="auto"/>
    </w:pPr>
  </w:style>
  <w:style w:type="character" w:customStyle="1" w:styleId="BodyTextFirstIndent2Char">
    <w:name w:val="Body Text First Indent 2 Char"/>
    <w:basedOn w:val="BodyTextIndentChar"/>
    <w:link w:val="BodyTextFirstIndent2"/>
    <w:rsid w:val="00C66891"/>
  </w:style>
  <w:style w:type="paragraph" w:styleId="BodyTextIndent2">
    <w:name w:val="Body Text Indent 2"/>
    <w:basedOn w:val="BodyTextIndent"/>
    <w:link w:val="BodyTextIndent2Char"/>
    <w:rsid w:val="00C66891"/>
    <w:pPr>
      <w:spacing w:after="0" w:line="480" w:lineRule="auto"/>
    </w:pPr>
  </w:style>
  <w:style w:type="character" w:customStyle="1" w:styleId="BodyTextIndent2Char">
    <w:name w:val="Body Text Indent 2 Char"/>
    <w:basedOn w:val="DefaultParagraphFont"/>
    <w:link w:val="BodyTextIndent2"/>
    <w:rsid w:val="00C66891"/>
  </w:style>
  <w:style w:type="paragraph" w:customStyle="1" w:styleId="BodyTextHalfIndent">
    <w:name w:val="Body Text Half Indent"/>
    <w:basedOn w:val="BodyText"/>
    <w:link w:val="BodyTextHalfIndentChar"/>
    <w:rsid w:val="00C66891"/>
    <w:pPr>
      <w:ind w:left="720"/>
    </w:pPr>
  </w:style>
  <w:style w:type="paragraph" w:customStyle="1" w:styleId="BodyTextHalfIndent2">
    <w:name w:val="Body Text Half Indent 2"/>
    <w:basedOn w:val="BodyTextHalfIndent"/>
    <w:link w:val="BodyTextHalfIndent2Char"/>
    <w:rsid w:val="00C66891"/>
    <w:pPr>
      <w:spacing w:after="0" w:line="480" w:lineRule="auto"/>
    </w:pPr>
  </w:style>
  <w:style w:type="character" w:customStyle="1" w:styleId="BodyTextHalfIndentChar">
    <w:name w:val="Body Text Half Indent Char"/>
    <w:basedOn w:val="BodyTextChar"/>
    <w:link w:val="BodyTextHalfIndent"/>
    <w:rsid w:val="00C66891"/>
  </w:style>
  <w:style w:type="paragraph" w:customStyle="1" w:styleId="BodyTextFirstHalfIndent">
    <w:name w:val="Body Text First Half Indent"/>
    <w:basedOn w:val="BodyText"/>
    <w:link w:val="BodyTextFirstHalfIndentChar"/>
    <w:rsid w:val="00C66891"/>
    <w:pPr>
      <w:ind w:firstLine="720"/>
    </w:pPr>
  </w:style>
  <w:style w:type="character" w:customStyle="1" w:styleId="BodyTextHalfIndent2Char">
    <w:name w:val="Body Text Half Indent 2 Char"/>
    <w:basedOn w:val="BodyTextHalfIndentChar"/>
    <w:link w:val="BodyTextHalfIndent2"/>
    <w:rsid w:val="00C66891"/>
  </w:style>
  <w:style w:type="paragraph" w:customStyle="1" w:styleId="BodyTextFirstHalfIndent2">
    <w:name w:val="Body Text First Half Indent 2"/>
    <w:basedOn w:val="BodyTextFirstHalfIndent"/>
    <w:link w:val="BodyTextFirstHalfIndent2Char"/>
    <w:rsid w:val="00C66891"/>
    <w:pPr>
      <w:spacing w:after="0" w:line="480" w:lineRule="auto"/>
    </w:pPr>
  </w:style>
  <w:style w:type="character" w:customStyle="1" w:styleId="BodyTextFirstHalfIndentChar">
    <w:name w:val="Body Text First Half Indent Char"/>
    <w:basedOn w:val="BodyTextChar"/>
    <w:link w:val="BodyTextFirstHalfIndent"/>
    <w:rsid w:val="00C66891"/>
  </w:style>
  <w:style w:type="paragraph" w:styleId="EnvelopeAddress">
    <w:name w:val="envelope address"/>
    <w:basedOn w:val="Normal"/>
    <w:uiPriority w:val="99"/>
    <w:semiHidden/>
    <w:unhideWhenUsed/>
    <w:rsid w:val="00C66891"/>
    <w:pPr>
      <w:framePr w:w="7920" w:h="1987" w:hRule="exact" w:hSpace="187" w:wrap="around" w:hAnchor="page" w:xAlign="center" w:yAlign="bottom"/>
      <w:ind w:left="2880"/>
    </w:pPr>
    <w:rPr>
      <w:rFonts w:eastAsiaTheme="majorEastAsia" w:cstheme="majorBidi"/>
    </w:rPr>
  </w:style>
  <w:style w:type="character" w:customStyle="1" w:styleId="BodyTextFirstHalfIndent2Char">
    <w:name w:val="Body Text First Half Indent 2 Char"/>
    <w:basedOn w:val="BodyTextFirstHalfIndentChar"/>
    <w:link w:val="BodyTextFirstHalfIndent2"/>
    <w:rsid w:val="00C66891"/>
  </w:style>
  <w:style w:type="paragraph" w:styleId="EnvelopeReturn">
    <w:name w:val="envelope return"/>
    <w:basedOn w:val="Normal"/>
    <w:uiPriority w:val="99"/>
    <w:semiHidden/>
    <w:unhideWhenUsed/>
    <w:rsid w:val="00C66891"/>
    <w:rPr>
      <w:rFonts w:eastAsiaTheme="majorEastAsia" w:cstheme="majorBidi"/>
      <w:sz w:val="20"/>
      <w:szCs w:val="20"/>
    </w:rPr>
  </w:style>
  <w:style w:type="paragraph" w:styleId="Footer">
    <w:name w:val="footer"/>
    <w:basedOn w:val="Normal"/>
    <w:link w:val="FooterChar"/>
    <w:uiPriority w:val="99"/>
    <w:semiHidden/>
    <w:rsid w:val="00C66891"/>
    <w:pPr>
      <w:tabs>
        <w:tab w:val="center" w:pos="4680"/>
        <w:tab w:val="right" w:pos="9360"/>
      </w:tabs>
    </w:pPr>
  </w:style>
  <w:style w:type="character" w:customStyle="1" w:styleId="FooterChar">
    <w:name w:val="Footer Char"/>
    <w:basedOn w:val="DefaultParagraphFont"/>
    <w:link w:val="Footer"/>
    <w:uiPriority w:val="99"/>
    <w:semiHidden/>
    <w:rsid w:val="000A3C03"/>
  </w:style>
  <w:style w:type="paragraph" w:styleId="Header">
    <w:name w:val="header"/>
    <w:basedOn w:val="Normal"/>
    <w:link w:val="HeaderChar"/>
    <w:uiPriority w:val="99"/>
    <w:semiHidden/>
    <w:rsid w:val="00C66891"/>
    <w:pPr>
      <w:tabs>
        <w:tab w:val="center" w:pos="4680"/>
        <w:tab w:val="right" w:pos="9360"/>
      </w:tabs>
    </w:pPr>
  </w:style>
  <w:style w:type="character" w:customStyle="1" w:styleId="HeaderChar">
    <w:name w:val="Header Char"/>
    <w:basedOn w:val="DefaultParagraphFont"/>
    <w:link w:val="Header"/>
    <w:uiPriority w:val="99"/>
    <w:semiHidden/>
    <w:rsid w:val="000A3C03"/>
  </w:style>
  <w:style w:type="paragraph" w:styleId="NormalIndent">
    <w:name w:val="Normal Indent"/>
    <w:basedOn w:val="Normal"/>
    <w:uiPriority w:val="99"/>
    <w:semiHidden/>
    <w:unhideWhenUsed/>
    <w:rsid w:val="00C66891"/>
    <w:pPr>
      <w:ind w:left="1440"/>
    </w:pPr>
  </w:style>
  <w:style w:type="paragraph" w:customStyle="1" w:styleId="NormalHalfIndent">
    <w:name w:val="Normal Half Indent"/>
    <w:basedOn w:val="Normal"/>
    <w:semiHidden/>
    <w:rsid w:val="00C66891"/>
    <w:pPr>
      <w:ind w:left="720"/>
    </w:pPr>
  </w:style>
  <w:style w:type="paragraph" w:styleId="Salutation">
    <w:name w:val="Salutation"/>
    <w:basedOn w:val="Normal"/>
    <w:next w:val="Normal"/>
    <w:link w:val="SalutationChar"/>
    <w:uiPriority w:val="99"/>
    <w:rsid w:val="00B160B0"/>
    <w:pPr>
      <w:spacing w:after="240"/>
    </w:pPr>
  </w:style>
  <w:style w:type="character" w:customStyle="1" w:styleId="SalutationChar">
    <w:name w:val="Salutation Char"/>
    <w:basedOn w:val="DefaultParagraphFont"/>
    <w:link w:val="Salutation"/>
    <w:uiPriority w:val="99"/>
    <w:rsid w:val="00585238"/>
  </w:style>
  <w:style w:type="paragraph" w:styleId="Title">
    <w:name w:val="Title"/>
    <w:basedOn w:val="Normal"/>
    <w:next w:val="Normal"/>
    <w:link w:val="TitleChar"/>
    <w:uiPriority w:val="10"/>
    <w:qFormat/>
    <w:rsid w:val="00A6599C"/>
    <w:pPr>
      <w:spacing w:after="240"/>
      <w:contextualSpacing/>
      <w:jc w:val="center"/>
      <w:outlineLvl w:val="0"/>
    </w:pPr>
    <w:rPr>
      <w:rFonts w:asciiTheme="majorHAnsi" w:eastAsiaTheme="majorEastAsia" w:hAnsiTheme="majorHAnsi" w:cstheme="majorBidi"/>
      <w:b/>
      <w:szCs w:val="52"/>
    </w:rPr>
  </w:style>
  <w:style w:type="character" w:customStyle="1" w:styleId="TitleChar">
    <w:name w:val="Title Char"/>
    <w:basedOn w:val="DefaultParagraphFont"/>
    <w:link w:val="Title"/>
    <w:uiPriority w:val="10"/>
    <w:rsid w:val="00A6599C"/>
    <w:rPr>
      <w:rFonts w:asciiTheme="majorHAnsi" w:eastAsiaTheme="majorEastAsia" w:hAnsiTheme="majorHAnsi" w:cstheme="majorBidi"/>
      <w:b/>
      <w:szCs w:val="52"/>
    </w:rPr>
  </w:style>
  <w:style w:type="paragraph" w:styleId="FootnoteText">
    <w:name w:val="footnote text"/>
    <w:basedOn w:val="Normal"/>
    <w:link w:val="FootnoteTextChar"/>
    <w:uiPriority w:val="99"/>
    <w:semiHidden/>
    <w:unhideWhenUsed/>
    <w:rsid w:val="00C66891"/>
    <w:pPr>
      <w:spacing w:after="120" w:line="260" w:lineRule="exact"/>
    </w:pPr>
    <w:rPr>
      <w:szCs w:val="20"/>
    </w:rPr>
  </w:style>
  <w:style w:type="character" w:customStyle="1" w:styleId="FootnoteTextChar">
    <w:name w:val="Footnote Text Char"/>
    <w:basedOn w:val="DefaultParagraphFont"/>
    <w:link w:val="FootnoteText"/>
    <w:uiPriority w:val="99"/>
    <w:semiHidden/>
    <w:rsid w:val="00C66891"/>
    <w:rPr>
      <w:szCs w:val="20"/>
    </w:rPr>
  </w:style>
  <w:style w:type="character" w:styleId="FootnoteReference">
    <w:name w:val="footnote reference"/>
    <w:basedOn w:val="DefaultParagraphFont"/>
    <w:uiPriority w:val="99"/>
    <w:semiHidden/>
    <w:unhideWhenUsed/>
    <w:rsid w:val="00C66891"/>
    <w:rPr>
      <w:vertAlign w:val="superscript"/>
    </w:rPr>
  </w:style>
  <w:style w:type="paragraph" w:styleId="BlockText">
    <w:name w:val="Block Text"/>
    <w:basedOn w:val="Normal"/>
    <w:link w:val="BlockTextChar"/>
    <w:uiPriority w:val="2"/>
    <w:qFormat/>
    <w:rsid w:val="00C66891"/>
    <w:pPr>
      <w:spacing w:after="240"/>
      <w:ind w:left="1440" w:right="1440"/>
    </w:pPr>
    <w:rPr>
      <w:rFonts w:eastAsiaTheme="minorEastAsia"/>
      <w:iCs/>
    </w:rPr>
  </w:style>
  <w:style w:type="paragraph" w:styleId="EndnoteText">
    <w:name w:val="endnote text"/>
    <w:basedOn w:val="Normal"/>
    <w:link w:val="EndnoteTextChar"/>
    <w:uiPriority w:val="99"/>
    <w:semiHidden/>
    <w:unhideWhenUsed/>
    <w:rsid w:val="00C66891"/>
    <w:rPr>
      <w:szCs w:val="20"/>
    </w:rPr>
  </w:style>
  <w:style w:type="character" w:customStyle="1" w:styleId="EndnoteTextChar">
    <w:name w:val="Endnote Text Char"/>
    <w:basedOn w:val="DefaultParagraphFont"/>
    <w:link w:val="EndnoteText"/>
    <w:uiPriority w:val="99"/>
    <w:semiHidden/>
    <w:rsid w:val="00C66891"/>
    <w:rPr>
      <w:szCs w:val="20"/>
    </w:rPr>
  </w:style>
  <w:style w:type="numbering" w:customStyle="1" w:styleId="CovingtonHeadings">
    <w:name w:val="Covington Headings"/>
    <w:uiPriority w:val="99"/>
    <w:rsid w:val="00C66891"/>
    <w:pPr>
      <w:numPr>
        <w:numId w:val="11"/>
      </w:numPr>
    </w:pPr>
  </w:style>
  <w:style w:type="paragraph" w:styleId="Subtitle">
    <w:name w:val="Subtitle"/>
    <w:basedOn w:val="Normal"/>
    <w:next w:val="Normal"/>
    <w:link w:val="SubtitleChar"/>
    <w:uiPriority w:val="11"/>
    <w:qFormat/>
    <w:rsid w:val="00A6599C"/>
    <w:pPr>
      <w:numPr>
        <w:ilvl w:val="1"/>
      </w:numPr>
      <w:spacing w:after="240"/>
      <w:outlineLvl w:val="1"/>
    </w:pPr>
    <w:rPr>
      <w:rFonts w:asciiTheme="majorHAnsi" w:eastAsiaTheme="majorEastAsia" w:hAnsiTheme="majorHAnsi" w:cstheme="majorBidi"/>
      <w:iCs/>
      <w:u w:val="single"/>
    </w:rPr>
  </w:style>
  <w:style w:type="character" w:customStyle="1" w:styleId="Heading1Char">
    <w:name w:val="Heading 1 Char"/>
    <w:basedOn w:val="DefaultParagraphFont"/>
    <w:link w:val="Heading1"/>
    <w:uiPriority w:val="4"/>
    <w:rsid w:val="00A6599C"/>
    <w:rPr>
      <w:rFonts w:asciiTheme="majorHAnsi" w:eastAsiaTheme="majorEastAsia" w:hAnsiTheme="majorHAnsi" w:cstheme="majorBidi"/>
      <w:bCs/>
      <w:szCs w:val="28"/>
    </w:rPr>
  </w:style>
  <w:style w:type="character" w:customStyle="1" w:styleId="Heading2Char">
    <w:name w:val="Heading 2 Char"/>
    <w:basedOn w:val="DefaultParagraphFont"/>
    <w:link w:val="Heading2"/>
    <w:uiPriority w:val="4"/>
    <w:rsid w:val="00A6599C"/>
    <w:rPr>
      <w:rFonts w:asciiTheme="majorHAnsi" w:eastAsiaTheme="majorEastAsia" w:hAnsiTheme="majorHAnsi" w:cstheme="majorBidi"/>
      <w:bCs/>
      <w:szCs w:val="26"/>
    </w:rPr>
  </w:style>
  <w:style w:type="character" w:customStyle="1" w:styleId="Heading3Char">
    <w:name w:val="Heading 3 Char"/>
    <w:basedOn w:val="DefaultParagraphFont"/>
    <w:link w:val="Heading3"/>
    <w:uiPriority w:val="4"/>
    <w:rsid w:val="00A6599C"/>
    <w:rPr>
      <w:rFonts w:asciiTheme="majorHAnsi" w:eastAsiaTheme="majorEastAsia" w:hAnsiTheme="majorHAnsi" w:cstheme="majorBidi"/>
      <w:bCs/>
    </w:rPr>
  </w:style>
  <w:style w:type="character" w:customStyle="1" w:styleId="Heading4Char">
    <w:name w:val="Heading 4 Char"/>
    <w:basedOn w:val="DefaultParagraphFont"/>
    <w:link w:val="Heading4"/>
    <w:uiPriority w:val="4"/>
    <w:rsid w:val="00A6599C"/>
    <w:rPr>
      <w:rFonts w:asciiTheme="majorHAnsi" w:eastAsiaTheme="majorEastAsia" w:hAnsiTheme="majorHAnsi" w:cstheme="majorBidi"/>
      <w:bCs/>
      <w:iCs/>
    </w:rPr>
  </w:style>
  <w:style w:type="character" w:customStyle="1" w:styleId="Heading5Char">
    <w:name w:val="Heading 5 Char"/>
    <w:basedOn w:val="DefaultParagraphFont"/>
    <w:link w:val="Heading5"/>
    <w:uiPriority w:val="4"/>
    <w:rsid w:val="00A6599C"/>
    <w:rPr>
      <w:rFonts w:asciiTheme="majorHAnsi" w:eastAsiaTheme="majorEastAsia" w:hAnsiTheme="majorHAnsi" w:cstheme="majorBidi"/>
    </w:rPr>
  </w:style>
  <w:style w:type="character" w:customStyle="1" w:styleId="Heading6Char">
    <w:name w:val="Heading 6 Char"/>
    <w:basedOn w:val="DefaultParagraphFont"/>
    <w:link w:val="Heading6"/>
    <w:uiPriority w:val="4"/>
    <w:rsid w:val="00A6599C"/>
    <w:rPr>
      <w:rFonts w:asciiTheme="majorHAnsi" w:eastAsiaTheme="majorEastAsia" w:hAnsiTheme="majorHAnsi" w:cstheme="majorBidi"/>
      <w:iCs/>
    </w:rPr>
  </w:style>
  <w:style w:type="character" w:customStyle="1" w:styleId="Heading7Char">
    <w:name w:val="Heading 7 Char"/>
    <w:basedOn w:val="DefaultParagraphFont"/>
    <w:link w:val="Heading7"/>
    <w:uiPriority w:val="4"/>
    <w:rsid w:val="00A6599C"/>
    <w:rPr>
      <w:rFonts w:asciiTheme="majorHAnsi" w:eastAsiaTheme="majorEastAsia" w:hAnsiTheme="majorHAnsi" w:cstheme="majorBidi"/>
      <w:iCs/>
    </w:rPr>
  </w:style>
  <w:style w:type="character" w:customStyle="1" w:styleId="Heading8Char">
    <w:name w:val="Heading 8 Char"/>
    <w:basedOn w:val="DefaultParagraphFont"/>
    <w:link w:val="Heading8"/>
    <w:uiPriority w:val="4"/>
    <w:rsid w:val="00A6599C"/>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4"/>
    <w:rsid w:val="00A6599C"/>
    <w:rPr>
      <w:rFonts w:asciiTheme="majorHAnsi" w:eastAsiaTheme="majorEastAsia" w:hAnsiTheme="majorHAnsi" w:cstheme="majorBidi"/>
      <w:iCs/>
      <w:szCs w:val="20"/>
    </w:rPr>
  </w:style>
  <w:style w:type="character" w:customStyle="1" w:styleId="SubtitleChar">
    <w:name w:val="Subtitle Char"/>
    <w:basedOn w:val="DefaultParagraphFont"/>
    <w:link w:val="Subtitle"/>
    <w:uiPriority w:val="11"/>
    <w:rsid w:val="00A6599C"/>
    <w:rPr>
      <w:rFonts w:asciiTheme="majorHAnsi" w:eastAsiaTheme="majorEastAsia" w:hAnsiTheme="majorHAnsi" w:cstheme="majorBidi"/>
      <w:iCs/>
      <w:u w:val="single"/>
    </w:rPr>
  </w:style>
  <w:style w:type="paragraph" w:customStyle="1" w:styleId="SubtitleCentered">
    <w:name w:val="Subtitle Centered"/>
    <w:basedOn w:val="Subtitle"/>
    <w:link w:val="SubtitleCenteredChar"/>
    <w:uiPriority w:val="11"/>
    <w:qFormat/>
    <w:rsid w:val="00A6599C"/>
    <w:pPr>
      <w:jc w:val="center"/>
    </w:pPr>
  </w:style>
  <w:style w:type="numbering" w:customStyle="1" w:styleId="ListBullets">
    <w:name w:val="ListBullets"/>
    <w:uiPriority w:val="99"/>
    <w:rsid w:val="00D71515"/>
    <w:pPr>
      <w:numPr>
        <w:numId w:val="22"/>
      </w:numPr>
    </w:pPr>
  </w:style>
  <w:style w:type="numbering" w:customStyle="1" w:styleId="ListNumbers">
    <w:name w:val="ListNumbers"/>
    <w:uiPriority w:val="99"/>
    <w:rsid w:val="00D71515"/>
    <w:pPr>
      <w:numPr>
        <w:numId w:val="23"/>
      </w:numPr>
    </w:pPr>
  </w:style>
  <w:style w:type="paragraph" w:styleId="ListBullet">
    <w:name w:val="List Bullet"/>
    <w:basedOn w:val="Normal"/>
    <w:uiPriority w:val="6"/>
    <w:qFormat/>
    <w:rsid w:val="00477584"/>
    <w:pPr>
      <w:numPr>
        <w:numId w:val="28"/>
      </w:numPr>
      <w:spacing w:after="240"/>
    </w:pPr>
  </w:style>
  <w:style w:type="paragraph" w:styleId="ListBullet2">
    <w:name w:val="List Bullet 2"/>
    <w:basedOn w:val="Normal"/>
    <w:uiPriority w:val="6"/>
    <w:qFormat/>
    <w:rsid w:val="00477584"/>
    <w:pPr>
      <w:numPr>
        <w:ilvl w:val="1"/>
        <w:numId w:val="28"/>
      </w:numPr>
      <w:spacing w:after="240"/>
    </w:pPr>
  </w:style>
  <w:style w:type="paragraph" w:styleId="ListBullet3">
    <w:name w:val="List Bullet 3"/>
    <w:basedOn w:val="Normal"/>
    <w:uiPriority w:val="6"/>
    <w:rsid w:val="00477584"/>
    <w:pPr>
      <w:numPr>
        <w:ilvl w:val="2"/>
        <w:numId w:val="28"/>
      </w:numPr>
      <w:spacing w:after="240"/>
    </w:pPr>
  </w:style>
  <w:style w:type="paragraph" w:styleId="ListBullet4">
    <w:name w:val="List Bullet 4"/>
    <w:basedOn w:val="Normal"/>
    <w:uiPriority w:val="6"/>
    <w:rsid w:val="00477584"/>
    <w:pPr>
      <w:numPr>
        <w:ilvl w:val="3"/>
        <w:numId w:val="28"/>
      </w:numPr>
      <w:spacing w:after="240"/>
    </w:pPr>
  </w:style>
  <w:style w:type="paragraph" w:styleId="ListBullet5">
    <w:name w:val="List Bullet 5"/>
    <w:basedOn w:val="Normal"/>
    <w:uiPriority w:val="6"/>
    <w:rsid w:val="00477584"/>
    <w:pPr>
      <w:numPr>
        <w:ilvl w:val="4"/>
        <w:numId w:val="28"/>
      </w:numPr>
      <w:spacing w:after="240"/>
    </w:pPr>
  </w:style>
  <w:style w:type="paragraph" w:styleId="List">
    <w:name w:val="List"/>
    <w:basedOn w:val="Normal"/>
    <w:uiPriority w:val="5"/>
    <w:semiHidden/>
    <w:qFormat/>
    <w:rsid w:val="00477584"/>
    <w:pPr>
      <w:spacing w:after="240"/>
      <w:ind w:left="360" w:hanging="360"/>
    </w:pPr>
  </w:style>
  <w:style w:type="paragraph" w:styleId="ListNumber">
    <w:name w:val="List Number"/>
    <w:basedOn w:val="Normal"/>
    <w:uiPriority w:val="7"/>
    <w:qFormat/>
    <w:rsid w:val="00477584"/>
    <w:pPr>
      <w:numPr>
        <w:numId w:val="29"/>
      </w:numPr>
      <w:spacing w:after="240"/>
    </w:pPr>
  </w:style>
  <w:style w:type="paragraph" w:styleId="ListNumber2">
    <w:name w:val="List Number 2"/>
    <w:basedOn w:val="Normal"/>
    <w:uiPriority w:val="7"/>
    <w:qFormat/>
    <w:rsid w:val="00477584"/>
    <w:pPr>
      <w:numPr>
        <w:ilvl w:val="1"/>
        <w:numId w:val="29"/>
      </w:numPr>
      <w:spacing w:after="240"/>
    </w:pPr>
  </w:style>
  <w:style w:type="paragraph" w:styleId="ListNumber3">
    <w:name w:val="List Number 3"/>
    <w:basedOn w:val="Normal"/>
    <w:uiPriority w:val="7"/>
    <w:rsid w:val="00477584"/>
    <w:pPr>
      <w:numPr>
        <w:ilvl w:val="2"/>
        <w:numId w:val="29"/>
      </w:numPr>
      <w:spacing w:after="240"/>
    </w:pPr>
  </w:style>
  <w:style w:type="paragraph" w:styleId="ListNumber4">
    <w:name w:val="List Number 4"/>
    <w:basedOn w:val="Normal"/>
    <w:uiPriority w:val="7"/>
    <w:rsid w:val="00477584"/>
    <w:pPr>
      <w:numPr>
        <w:ilvl w:val="3"/>
        <w:numId w:val="29"/>
      </w:numPr>
      <w:spacing w:after="240"/>
    </w:pPr>
  </w:style>
  <w:style w:type="paragraph" w:styleId="List2">
    <w:name w:val="List 2"/>
    <w:basedOn w:val="Normal"/>
    <w:uiPriority w:val="5"/>
    <w:semiHidden/>
    <w:qFormat/>
    <w:rsid w:val="00477584"/>
    <w:pPr>
      <w:spacing w:after="240"/>
      <w:ind w:left="720" w:hanging="360"/>
    </w:pPr>
  </w:style>
  <w:style w:type="paragraph" w:styleId="List3">
    <w:name w:val="List 3"/>
    <w:basedOn w:val="Normal"/>
    <w:uiPriority w:val="5"/>
    <w:semiHidden/>
    <w:rsid w:val="00477584"/>
    <w:pPr>
      <w:spacing w:after="240"/>
      <w:ind w:left="1080" w:hanging="360"/>
    </w:pPr>
  </w:style>
  <w:style w:type="paragraph" w:styleId="List4">
    <w:name w:val="List 4"/>
    <w:basedOn w:val="Normal"/>
    <w:uiPriority w:val="5"/>
    <w:semiHidden/>
    <w:rsid w:val="00477584"/>
    <w:pPr>
      <w:spacing w:after="240"/>
      <w:ind w:left="1440" w:hanging="360"/>
    </w:pPr>
  </w:style>
  <w:style w:type="paragraph" w:styleId="List5">
    <w:name w:val="List 5"/>
    <w:basedOn w:val="Normal"/>
    <w:uiPriority w:val="5"/>
    <w:semiHidden/>
    <w:rsid w:val="00477584"/>
    <w:pPr>
      <w:spacing w:after="240"/>
      <w:ind w:left="1800" w:hanging="360"/>
    </w:pPr>
  </w:style>
  <w:style w:type="paragraph" w:styleId="ListContinue">
    <w:name w:val="List Continue"/>
    <w:basedOn w:val="Normal"/>
    <w:uiPriority w:val="8"/>
    <w:qFormat/>
    <w:rsid w:val="00477584"/>
    <w:pPr>
      <w:spacing w:after="240"/>
      <w:ind w:left="360"/>
    </w:pPr>
  </w:style>
  <w:style w:type="paragraph" w:styleId="ListContinue2">
    <w:name w:val="List Continue 2"/>
    <w:basedOn w:val="Normal"/>
    <w:uiPriority w:val="8"/>
    <w:qFormat/>
    <w:rsid w:val="00477584"/>
    <w:pPr>
      <w:spacing w:after="240"/>
      <w:ind w:left="720"/>
    </w:pPr>
  </w:style>
  <w:style w:type="paragraph" w:styleId="ListContinue3">
    <w:name w:val="List Continue 3"/>
    <w:basedOn w:val="Normal"/>
    <w:uiPriority w:val="8"/>
    <w:rsid w:val="00477584"/>
    <w:pPr>
      <w:spacing w:after="240"/>
      <w:ind w:left="1080"/>
    </w:pPr>
  </w:style>
  <w:style w:type="paragraph" w:styleId="ListContinue4">
    <w:name w:val="List Continue 4"/>
    <w:basedOn w:val="Normal"/>
    <w:uiPriority w:val="8"/>
    <w:rsid w:val="00477584"/>
    <w:pPr>
      <w:spacing w:after="240"/>
      <w:ind w:left="1440"/>
    </w:pPr>
  </w:style>
  <w:style w:type="paragraph" w:styleId="ListContinue5">
    <w:name w:val="List Continue 5"/>
    <w:basedOn w:val="Normal"/>
    <w:uiPriority w:val="8"/>
    <w:rsid w:val="00477584"/>
    <w:pPr>
      <w:spacing w:after="240"/>
      <w:ind w:left="1800"/>
    </w:pPr>
  </w:style>
  <w:style w:type="paragraph" w:styleId="ListNumber5">
    <w:name w:val="List Number 5"/>
    <w:basedOn w:val="Normal"/>
    <w:uiPriority w:val="7"/>
    <w:rsid w:val="00477584"/>
    <w:pPr>
      <w:numPr>
        <w:ilvl w:val="4"/>
        <w:numId w:val="29"/>
      </w:numPr>
      <w:spacing w:after="240"/>
    </w:pPr>
  </w:style>
  <w:style w:type="character" w:customStyle="1" w:styleId="SubtitleCenteredChar">
    <w:name w:val="Subtitle Centered Char"/>
    <w:basedOn w:val="SubtitleChar"/>
    <w:link w:val="SubtitleCentered"/>
    <w:uiPriority w:val="11"/>
    <w:rsid w:val="00A6599C"/>
    <w:rPr>
      <w:rFonts w:asciiTheme="majorHAnsi" w:eastAsiaTheme="majorEastAsia" w:hAnsiTheme="majorHAnsi" w:cstheme="majorBidi"/>
      <w:iCs/>
      <w:u w:val="single"/>
    </w:rPr>
  </w:style>
  <w:style w:type="character" w:customStyle="1" w:styleId="BlockTextChar">
    <w:name w:val="Block Text Char"/>
    <w:basedOn w:val="DefaultParagraphFont"/>
    <w:link w:val="BlockText"/>
    <w:uiPriority w:val="2"/>
    <w:rsid w:val="007A7997"/>
    <w:rPr>
      <w:rFonts w:eastAsiaTheme="minorEastAsia"/>
      <w:iCs/>
    </w:rPr>
  </w:style>
  <w:style w:type="paragraph" w:customStyle="1" w:styleId="LetteredParagraphDouble">
    <w:name w:val="Lettered Paragraph Double"/>
    <w:basedOn w:val="Normal"/>
    <w:link w:val="LetteredParagraphDoubleChar"/>
    <w:unhideWhenUsed/>
    <w:rsid w:val="000E72A7"/>
    <w:pPr>
      <w:numPr>
        <w:numId w:val="24"/>
      </w:numPr>
      <w:tabs>
        <w:tab w:val="left" w:pos="1800"/>
      </w:tabs>
      <w:spacing w:line="480" w:lineRule="auto"/>
    </w:pPr>
  </w:style>
  <w:style w:type="paragraph" w:customStyle="1" w:styleId="LetteredParagraphSingle">
    <w:name w:val="Lettered Paragraph Single"/>
    <w:basedOn w:val="Normal"/>
    <w:link w:val="LetteredParagraphSingleChar"/>
    <w:unhideWhenUsed/>
    <w:rsid w:val="000E72A7"/>
    <w:pPr>
      <w:numPr>
        <w:numId w:val="25"/>
      </w:numPr>
      <w:tabs>
        <w:tab w:val="left" w:pos="1800"/>
      </w:tabs>
      <w:spacing w:after="240"/>
    </w:pPr>
  </w:style>
  <w:style w:type="character" w:customStyle="1" w:styleId="LetteredParagraphDoubleChar">
    <w:name w:val="Lettered Paragraph Double Char"/>
    <w:basedOn w:val="DefaultParagraphFont"/>
    <w:link w:val="LetteredParagraphDouble"/>
    <w:rsid w:val="000E72A7"/>
  </w:style>
  <w:style w:type="paragraph" w:customStyle="1" w:styleId="NumberedParagraphDouble">
    <w:name w:val="Numbered Paragraph Double"/>
    <w:basedOn w:val="Normal"/>
    <w:link w:val="NumberedParagraphDoubleChar"/>
    <w:rsid w:val="000E72A7"/>
    <w:pPr>
      <w:numPr>
        <w:numId w:val="26"/>
      </w:numPr>
      <w:tabs>
        <w:tab w:val="left" w:pos="720"/>
      </w:tabs>
      <w:spacing w:line="480" w:lineRule="auto"/>
    </w:pPr>
  </w:style>
  <w:style w:type="character" w:customStyle="1" w:styleId="LetteredParagraphSingleChar">
    <w:name w:val="Lettered Paragraph Single Char"/>
    <w:basedOn w:val="DefaultParagraphFont"/>
    <w:link w:val="LetteredParagraphSingle"/>
    <w:rsid w:val="000E72A7"/>
  </w:style>
  <w:style w:type="paragraph" w:customStyle="1" w:styleId="NumberedParagraphSingle">
    <w:name w:val="Numbered Paragraph Single"/>
    <w:basedOn w:val="Normal"/>
    <w:link w:val="NumberedParagraphSingleChar"/>
    <w:rsid w:val="000E72A7"/>
    <w:pPr>
      <w:numPr>
        <w:numId w:val="27"/>
      </w:numPr>
      <w:tabs>
        <w:tab w:val="left" w:pos="1800"/>
      </w:tabs>
      <w:spacing w:after="240"/>
    </w:pPr>
  </w:style>
  <w:style w:type="character" w:customStyle="1" w:styleId="NumberedParagraphDoubleChar">
    <w:name w:val="Numbered Paragraph Double Char"/>
    <w:basedOn w:val="DefaultParagraphFont"/>
    <w:link w:val="NumberedParagraphDouble"/>
    <w:rsid w:val="000E72A7"/>
  </w:style>
  <w:style w:type="paragraph" w:customStyle="1" w:styleId="Re">
    <w:name w:val="Re"/>
    <w:basedOn w:val="Normal"/>
    <w:next w:val="Salutation"/>
    <w:uiPriority w:val="19"/>
    <w:rsid w:val="00B160B0"/>
    <w:pPr>
      <w:tabs>
        <w:tab w:val="left" w:pos="2160"/>
      </w:tabs>
      <w:spacing w:before="240" w:after="240"/>
      <w:ind w:left="2160" w:right="1440" w:hanging="720"/>
      <w:contextualSpacing/>
    </w:pPr>
  </w:style>
  <w:style w:type="character" w:customStyle="1" w:styleId="NumberedParagraphSingleChar">
    <w:name w:val="Numbered Paragraph Single Char"/>
    <w:basedOn w:val="DefaultParagraphFont"/>
    <w:link w:val="NumberedParagraphSingle"/>
    <w:rsid w:val="000E72A7"/>
  </w:style>
  <w:style w:type="paragraph" w:customStyle="1" w:styleId="TableEnd">
    <w:name w:val="Table End"/>
    <w:basedOn w:val="Normal"/>
    <w:uiPriority w:val="19"/>
    <w:rsid w:val="003B49FC"/>
    <w:pPr>
      <w:spacing w:before="60" w:after="180"/>
    </w:pPr>
  </w:style>
  <w:style w:type="paragraph" w:customStyle="1" w:styleId="TableHeading">
    <w:name w:val="Table Heading"/>
    <w:basedOn w:val="Normal"/>
    <w:uiPriority w:val="19"/>
    <w:rsid w:val="003B49FC"/>
    <w:pPr>
      <w:keepNext/>
      <w:spacing w:before="240" w:after="60"/>
      <w:jc w:val="center"/>
    </w:pPr>
    <w:rPr>
      <w:b/>
    </w:rPr>
  </w:style>
  <w:style w:type="paragraph" w:customStyle="1" w:styleId="TableText">
    <w:name w:val="Table Text"/>
    <w:basedOn w:val="Normal"/>
    <w:uiPriority w:val="19"/>
    <w:rsid w:val="003B49FC"/>
    <w:pPr>
      <w:spacing w:before="60" w:after="60"/>
    </w:pPr>
  </w:style>
  <w:style w:type="paragraph" w:styleId="TOCHeading">
    <w:name w:val="TOC Heading"/>
    <w:basedOn w:val="Normal"/>
    <w:next w:val="Normal"/>
    <w:uiPriority w:val="39"/>
    <w:semiHidden/>
    <w:unhideWhenUsed/>
    <w:rsid w:val="001B364F"/>
    <w:pPr>
      <w:spacing w:after="240"/>
      <w:contextualSpacing/>
      <w:jc w:val="center"/>
    </w:pPr>
    <w:rPr>
      <w:b/>
    </w:rPr>
  </w:style>
  <w:style w:type="paragraph" w:styleId="TOC1">
    <w:name w:val="toc 1"/>
    <w:basedOn w:val="Normal"/>
    <w:next w:val="Normal"/>
    <w:uiPriority w:val="39"/>
    <w:semiHidden/>
    <w:rsid w:val="001E0028"/>
    <w:pPr>
      <w:tabs>
        <w:tab w:val="right" w:leader="dot" w:pos="9346"/>
      </w:tabs>
      <w:spacing w:after="240"/>
      <w:ind w:left="720" w:right="720" w:hanging="720"/>
    </w:pPr>
    <w:rPr>
      <w:noProof/>
    </w:rPr>
  </w:style>
  <w:style w:type="paragraph" w:styleId="TOC2">
    <w:name w:val="toc 2"/>
    <w:basedOn w:val="Normal"/>
    <w:next w:val="Normal"/>
    <w:uiPriority w:val="39"/>
    <w:semiHidden/>
    <w:rsid w:val="001E0028"/>
    <w:pPr>
      <w:tabs>
        <w:tab w:val="right" w:leader="dot" w:pos="9346"/>
      </w:tabs>
      <w:spacing w:after="240"/>
      <w:ind w:left="1440" w:right="720" w:hanging="720"/>
    </w:pPr>
    <w:rPr>
      <w:noProof/>
    </w:rPr>
  </w:style>
  <w:style w:type="paragraph" w:styleId="TOC3">
    <w:name w:val="toc 3"/>
    <w:basedOn w:val="Normal"/>
    <w:next w:val="Normal"/>
    <w:uiPriority w:val="39"/>
    <w:semiHidden/>
    <w:rsid w:val="001E0028"/>
    <w:pPr>
      <w:tabs>
        <w:tab w:val="right" w:leader="dot" w:pos="9346"/>
      </w:tabs>
      <w:spacing w:after="240"/>
      <w:ind w:left="2160" w:right="720" w:hanging="720"/>
    </w:pPr>
    <w:rPr>
      <w:noProof/>
    </w:rPr>
  </w:style>
  <w:style w:type="paragraph" w:styleId="TOC4">
    <w:name w:val="toc 4"/>
    <w:basedOn w:val="Normal"/>
    <w:next w:val="Normal"/>
    <w:uiPriority w:val="39"/>
    <w:semiHidden/>
    <w:rsid w:val="001E0028"/>
    <w:pPr>
      <w:tabs>
        <w:tab w:val="right" w:leader="dot" w:pos="9346"/>
      </w:tabs>
      <w:spacing w:after="240"/>
      <w:ind w:left="2880" w:right="720" w:hanging="720"/>
    </w:pPr>
    <w:rPr>
      <w:noProof/>
    </w:rPr>
  </w:style>
  <w:style w:type="paragraph" w:styleId="TOC5">
    <w:name w:val="toc 5"/>
    <w:basedOn w:val="Normal"/>
    <w:next w:val="Normal"/>
    <w:uiPriority w:val="39"/>
    <w:semiHidden/>
    <w:rsid w:val="001E0028"/>
    <w:pPr>
      <w:tabs>
        <w:tab w:val="right" w:leader="dot" w:pos="9346"/>
      </w:tabs>
      <w:spacing w:after="240"/>
      <w:ind w:left="3600" w:right="720" w:hanging="720"/>
    </w:pPr>
    <w:rPr>
      <w:noProof/>
    </w:rPr>
  </w:style>
  <w:style w:type="paragraph" w:styleId="TOC6">
    <w:name w:val="toc 6"/>
    <w:basedOn w:val="Normal"/>
    <w:next w:val="Normal"/>
    <w:uiPriority w:val="39"/>
    <w:semiHidden/>
    <w:rsid w:val="001E0028"/>
    <w:pPr>
      <w:tabs>
        <w:tab w:val="right" w:leader="dot" w:pos="9346"/>
      </w:tabs>
      <w:spacing w:after="240"/>
      <w:ind w:left="4320" w:right="720" w:hanging="720"/>
    </w:pPr>
    <w:rPr>
      <w:noProof/>
    </w:rPr>
  </w:style>
  <w:style w:type="paragraph" w:styleId="TOC7">
    <w:name w:val="toc 7"/>
    <w:basedOn w:val="Normal"/>
    <w:next w:val="Normal"/>
    <w:uiPriority w:val="39"/>
    <w:semiHidden/>
    <w:rsid w:val="001E0028"/>
    <w:pPr>
      <w:tabs>
        <w:tab w:val="right" w:leader="dot" w:pos="9346"/>
      </w:tabs>
      <w:spacing w:after="240"/>
      <w:ind w:left="5040" w:right="720" w:hanging="720"/>
    </w:pPr>
    <w:rPr>
      <w:noProof/>
    </w:rPr>
  </w:style>
  <w:style w:type="paragraph" w:styleId="TOC8">
    <w:name w:val="toc 8"/>
    <w:basedOn w:val="Normal"/>
    <w:next w:val="Normal"/>
    <w:uiPriority w:val="39"/>
    <w:semiHidden/>
    <w:rsid w:val="001E0028"/>
    <w:pPr>
      <w:tabs>
        <w:tab w:val="right" w:leader="dot" w:pos="9346"/>
      </w:tabs>
      <w:spacing w:after="240"/>
      <w:ind w:left="5760" w:right="720" w:hanging="720"/>
    </w:pPr>
    <w:rPr>
      <w:noProof/>
    </w:rPr>
  </w:style>
  <w:style w:type="paragraph" w:styleId="TOC9">
    <w:name w:val="toc 9"/>
    <w:basedOn w:val="Normal"/>
    <w:next w:val="Normal"/>
    <w:uiPriority w:val="39"/>
    <w:semiHidden/>
    <w:rsid w:val="008201FD"/>
    <w:pPr>
      <w:tabs>
        <w:tab w:val="right" w:leader="dot" w:pos="9346"/>
      </w:tabs>
      <w:spacing w:after="240"/>
      <w:ind w:left="6480" w:right="720" w:hanging="720"/>
    </w:pPr>
    <w:rPr>
      <w:noProof/>
    </w:rPr>
  </w:style>
  <w:style w:type="paragraph" w:styleId="ListParagraph">
    <w:name w:val="List Paragraph"/>
    <w:basedOn w:val="Normal"/>
    <w:uiPriority w:val="9"/>
    <w:qFormat/>
    <w:rsid w:val="00ED2A6E"/>
    <w:pPr>
      <w:ind w:left="720"/>
      <w:contextualSpacing/>
    </w:pPr>
  </w:style>
  <w:style w:type="character" w:styleId="Hyperlink">
    <w:name w:val="Hyperlink"/>
    <w:basedOn w:val="DefaultParagraphFont"/>
    <w:uiPriority w:val="99"/>
    <w:unhideWhenUsed/>
    <w:rsid w:val="006B3D6C"/>
    <w:rPr>
      <w:color w:val="0000FF" w:themeColor="hyperlink"/>
      <w:u w:val="single"/>
    </w:rPr>
  </w:style>
  <w:style w:type="character" w:styleId="FollowedHyperlink">
    <w:name w:val="FollowedHyperlink"/>
    <w:basedOn w:val="DefaultParagraphFont"/>
    <w:uiPriority w:val="99"/>
    <w:semiHidden/>
    <w:unhideWhenUsed/>
    <w:rsid w:val="003534AC"/>
    <w:rPr>
      <w:color w:val="800080" w:themeColor="followedHyperlink"/>
      <w:u w:val="single"/>
    </w:rPr>
  </w:style>
  <w:style w:type="character" w:styleId="CommentReference">
    <w:name w:val="annotation reference"/>
    <w:basedOn w:val="DefaultParagraphFont"/>
    <w:uiPriority w:val="99"/>
    <w:semiHidden/>
    <w:unhideWhenUsed/>
    <w:rsid w:val="00545F58"/>
    <w:rPr>
      <w:sz w:val="16"/>
      <w:szCs w:val="16"/>
    </w:rPr>
  </w:style>
  <w:style w:type="paragraph" w:styleId="CommentText">
    <w:name w:val="annotation text"/>
    <w:basedOn w:val="Normal"/>
    <w:link w:val="CommentTextChar"/>
    <w:uiPriority w:val="99"/>
    <w:semiHidden/>
    <w:unhideWhenUsed/>
    <w:rsid w:val="00545F58"/>
    <w:rPr>
      <w:sz w:val="20"/>
      <w:szCs w:val="20"/>
    </w:rPr>
  </w:style>
  <w:style w:type="character" w:customStyle="1" w:styleId="CommentTextChar">
    <w:name w:val="Comment Text Char"/>
    <w:basedOn w:val="DefaultParagraphFont"/>
    <w:link w:val="CommentText"/>
    <w:uiPriority w:val="99"/>
    <w:semiHidden/>
    <w:rsid w:val="00545F58"/>
    <w:rPr>
      <w:sz w:val="20"/>
      <w:szCs w:val="20"/>
    </w:rPr>
  </w:style>
  <w:style w:type="paragraph" w:styleId="CommentSubject">
    <w:name w:val="annotation subject"/>
    <w:basedOn w:val="CommentText"/>
    <w:next w:val="CommentText"/>
    <w:link w:val="CommentSubjectChar"/>
    <w:uiPriority w:val="99"/>
    <w:semiHidden/>
    <w:unhideWhenUsed/>
    <w:rsid w:val="00545F58"/>
    <w:rPr>
      <w:b/>
      <w:bCs/>
    </w:rPr>
  </w:style>
  <w:style w:type="character" w:customStyle="1" w:styleId="CommentSubjectChar">
    <w:name w:val="Comment Subject Char"/>
    <w:basedOn w:val="CommentTextChar"/>
    <w:link w:val="CommentSubject"/>
    <w:uiPriority w:val="99"/>
    <w:semiHidden/>
    <w:rsid w:val="00545F58"/>
    <w:rPr>
      <w:b/>
      <w:bCs/>
      <w:sz w:val="20"/>
      <w:szCs w:val="20"/>
    </w:rPr>
  </w:style>
  <w:style w:type="paragraph" w:styleId="BalloonText">
    <w:name w:val="Balloon Text"/>
    <w:basedOn w:val="Normal"/>
    <w:link w:val="BalloonTextChar"/>
    <w:uiPriority w:val="99"/>
    <w:semiHidden/>
    <w:unhideWhenUsed/>
    <w:rsid w:val="00545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F58"/>
    <w:rPr>
      <w:rFonts w:ascii="Segoe UI" w:hAnsi="Segoe UI" w:cs="Segoe UI"/>
      <w:sz w:val="18"/>
      <w:szCs w:val="18"/>
    </w:rPr>
  </w:style>
  <w:style w:type="table" w:styleId="TableGrid">
    <w:name w:val="Table Grid"/>
    <w:basedOn w:val="TableNormal"/>
    <w:uiPriority w:val="59"/>
    <w:rsid w:val="00B11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621">
      <w:bodyDiv w:val="1"/>
      <w:marLeft w:val="0"/>
      <w:marRight w:val="0"/>
      <w:marTop w:val="0"/>
      <w:marBottom w:val="0"/>
      <w:divBdr>
        <w:top w:val="none" w:sz="0" w:space="0" w:color="auto"/>
        <w:left w:val="none" w:sz="0" w:space="0" w:color="auto"/>
        <w:bottom w:val="none" w:sz="0" w:space="0" w:color="auto"/>
        <w:right w:val="none" w:sz="0" w:space="0" w:color="auto"/>
      </w:divBdr>
    </w:div>
    <w:div w:id="389429872">
      <w:bodyDiv w:val="1"/>
      <w:marLeft w:val="0"/>
      <w:marRight w:val="0"/>
      <w:marTop w:val="0"/>
      <w:marBottom w:val="0"/>
      <w:divBdr>
        <w:top w:val="none" w:sz="0" w:space="0" w:color="auto"/>
        <w:left w:val="none" w:sz="0" w:space="0" w:color="auto"/>
        <w:bottom w:val="none" w:sz="0" w:space="0" w:color="auto"/>
        <w:right w:val="none" w:sz="0" w:space="0" w:color="auto"/>
      </w:divBdr>
    </w:div>
    <w:div w:id="523441913">
      <w:bodyDiv w:val="1"/>
      <w:marLeft w:val="0"/>
      <w:marRight w:val="0"/>
      <w:marTop w:val="0"/>
      <w:marBottom w:val="0"/>
      <w:divBdr>
        <w:top w:val="none" w:sz="0" w:space="0" w:color="auto"/>
        <w:left w:val="none" w:sz="0" w:space="0" w:color="auto"/>
        <w:bottom w:val="none" w:sz="0" w:space="0" w:color="auto"/>
        <w:right w:val="none" w:sz="0" w:space="0" w:color="auto"/>
      </w:divBdr>
    </w:div>
    <w:div w:id="1124540497">
      <w:bodyDiv w:val="1"/>
      <w:marLeft w:val="0"/>
      <w:marRight w:val="0"/>
      <w:marTop w:val="0"/>
      <w:marBottom w:val="0"/>
      <w:divBdr>
        <w:top w:val="none" w:sz="0" w:space="0" w:color="auto"/>
        <w:left w:val="none" w:sz="0" w:space="0" w:color="auto"/>
        <w:bottom w:val="none" w:sz="0" w:space="0" w:color="auto"/>
        <w:right w:val="none" w:sz="0" w:space="0" w:color="auto"/>
      </w:divBdr>
    </w:div>
    <w:div w:id="1181553141">
      <w:bodyDiv w:val="1"/>
      <w:marLeft w:val="0"/>
      <w:marRight w:val="0"/>
      <w:marTop w:val="0"/>
      <w:marBottom w:val="0"/>
      <w:divBdr>
        <w:top w:val="none" w:sz="0" w:space="0" w:color="auto"/>
        <w:left w:val="none" w:sz="0" w:space="0" w:color="auto"/>
        <w:bottom w:val="none" w:sz="0" w:space="0" w:color="auto"/>
        <w:right w:val="none" w:sz="0" w:space="0" w:color="auto"/>
      </w:divBdr>
    </w:div>
    <w:div w:id="1287389980">
      <w:bodyDiv w:val="1"/>
      <w:marLeft w:val="0"/>
      <w:marRight w:val="0"/>
      <w:marTop w:val="0"/>
      <w:marBottom w:val="0"/>
      <w:divBdr>
        <w:top w:val="none" w:sz="0" w:space="0" w:color="auto"/>
        <w:left w:val="none" w:sz="0" w:space="0" w:color="auto"/>
        <w:bottom w:val="none" w:sz="0" w:space="0" w:color="auto"/>
        <w:right w:val="none" w:sz="0" w:space="0" w:color="auto"/>
      </w:divBdr>
    </w:div>
    <w:div w:id="1388842955">
      <w:bodyDiv w:val="1"/>
      <w:marLeft w:val="0"/>
      <w:marRight w:val="0"/>
      <w:marTop w:val="0"/>
      <w:marBottom w:val="0"/>
      <w:divBdr>
        <w:top w:val="none" w:sz="0" w:space="0" w:color="auto"/>
        <w:left w:val="none" w:sz="0" w:space="0" w:color="auto"/>
        <w:bottom w:val="none" w:sz="0" w:space="0" w:color="auto"/>
        <w:right w:val="none" w:sz="0" w:space="0" w:color="auto"/>
      </w:divBdr>
    </w:div>
    <w:div w:id="1463378155">
      <w:bodyDiv w:val="1"/>
      <w:marLeft w:val="0"/>
      <w:marRight w:val="0"/>
      <w:marTop w:val="0"/>
      <w:marBottom w:val="0"/>
      <w:divBdr>
        <w:top w:val="none" w:sz="0" w:space="0" w:color="auto"/>
        <w:left w:val="none" w:sz="0" w:space="0" w:color="auto"/>
        <w:bottom w:val="none" w:sz="0" w:space="0" w:color="auto"/>
        <w:right w:val="none" w:sz="0" w:space="0" w:color="auto"/>
      </w:divBdr>
    </w:div>
    <w:div w:id="1833180703">
      <w:bodyDiv w:val="1"/>
      <w:marLeft w:val="0"/>
      <w:marRight w:val="0"/>
      <w:marTop w:val="0"/>
      <w:marBottom w:val="0"/>
      <w:divBdr>
        <w:top w:val="none" w:sz="0" w:space="0" w:color="auto"/>
        <w:left w:val="none" w:sz="0" w:space="0" w:color="auto"/>
        <w:bottom w:val="none" w:sz="0" w:space="0" w:color="auto"/>
        <w:right w:val="none" w:sz="0" w:space="0" w:color="auto"/>
      </w:divBdr>
    </w:div>
    <w:div w:id="1968701742">
      <w:bodyDiv w:val="1"/>
      <w:marLeft w:val="0"/>
      <w:marRight w:val="0"/>
      <w:marTop w:val="0"/>
      <w:marBottom w:val="0"/>
      <w:divBdr>
        <w:top w:val="none" w:sz="0" w:space="0" w:color="auto"/>
        <w:left w:val="none" w:sz="0" w:space="0" w:color="auto"/>
        <w:bottom w:val="none" w:sz="0" w:space="0" w:color="auto"/>
        <w:right w:val="none" w:sz="0" w:space="0" w:color="auto"/>
      </w:divBdr>
    </w:div>
    <w:div w:id="201340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ack Text">
      <a:dk1>
        <a:srgbClr val="000000"/>
      </a:dk1>
      <a:lt1>
        <a:srgbClr val="FFFFFF"/>
      </a:lt1>
      <a:dk2>
        <a:srgbClr val="003366"/>
      </a:dk2>
      <a:lt2>
        <a:srgbClr val="EEECE1"/>
      </a:lt2>
      <a:accent1>
        <a:srgbClr val="00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vington]">
      <a:majorFont>
        <a:latin typeface="Times New Roman"/>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imes New Roman"/>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lumMod val="60000"/>
            <a:lumOff val="40000"/>
          </a:schemeClr>
        </a:solidFill>
        <a:ln>
          <a:solidFill>
            <a:schemeClr val="tx2">
              <a:lumMod val="60000"/>
              <a:lumOff val="40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 D C ! 8 2 0 2 6 4 2 . 3 < / d o c u m e n t i d >  
     < s e n d e r i d > C O L L I N S K B < / s e n d e r i d >  
     < s e n d e r e m a i l > K C O L L I N S @ C O V . C O M < / s e n d e r e m a i l >  
     < l a s t m o d i f i e d > 2 0 2 2 - 1 0 - 2 7 T 1 0 : 2 9 : 0 0 . 0 0 0 0 0 0 0 - 0 4 : 0 0 < / l a s t m o d i f i e d >  
     < d a t a b a s e > D C < / 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37979-C7CE-4F8B-A5FB-6970E85D32DA}">
  <ds:schemaRefs>
    <ds:schemaRef ds:uri="http://www.imanage.com/work/xmlschema"/>
  </ds:schemaRefs>
</ds:datastoreItem>
</file>

<file path=customXml/itemProps2.xml><?xml version="1.0" encoding="utf-8"?>
<ds:datastoreItem xmlns:ds="http://schemas.openxmlformats.org/officeDocument/2006/customXml" ds:itemID="{D2F72884-E41E-4151-ACCB-23D167433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1980</Words>
  <Characters>11289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2022-10-27T14:54:00Z</dcterms:created>
  <dcterms:modified xsi:type="dcterms:W3CDTF">2022-10-27T14:54:00Z</dcterms:modified>
</cp:coreProperties>
</file>