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93" w:rsidRDefault="002B148B">
      <w:pPr>
        <w:rPr>
          <w:b/>
          <w:u w:val="single"/>
        </w:rPr>
      </w:pPr>
      <w:r>
        <w:rPr>
          <w:b/>
          <w:u w:val="single"/>
        </w:rPr>
        <w:t>Intro</w:t>
      </w:r>
      <w:r w:rsidR="003C79F9">
        <w:rPr>
          <w:b/>
          <w:u w:val="single"/>
        </w:rPr>
        <w:t>duce panel</w:t>
      </w:r>
    </w:p>
    <w:p w:rsidR="00AD5493" w:rsidRPr="00AD5493" w:rsidRDefault="00AD5493">
      <w:pPr>
        <w:rPr>
          <w:b/>
          <w:i/>
        </w:rPr>
      </w:pPr>
    </w:p>
    <w:p w:rsidR="00443588" w:rsidRDefault="008B5632">
      <w:pPr>
        <w:rPr>
          <w:b/>
          <w:i/>
        </w:rPr>
      </w:pPr>
      <w:r w:rsidRPr="003C79F9">
        <w:rPr>
          <w:b/>
          <w:i/>
        </w:rPr>
        <w:t>Overview of non-patent cases in the district</w:t>
      </w:r>
      <w:r w:rsidR="002B148B" w:rsidRPr="003C79F9">
        <w:rPr>
          <w:b/>
          <w:i/>
        </w:rPr>
        <w:t xml:space="preserve"> (statistics)</w:t>
      </w:r>
      <w:r w:rsidR="003C79F9">
        <w:rPr>
          <w:b/>
          <w:i/>
        </w:rPr>
        <w:t xml:space="preserve"> – Andrea Fair</w:t>
      </w:r>
      <w:r w:rsidR="000C1879">
        <w:rPr>
          <w:b/>
          <w:i/>
        </w:rPr>
        <w:t xml:space="preserve"> – 3 minutes</w:t>
      </w:r>
    </w:p>
    <w:p w:rsidR="00B62CFD" w:rsidRDefault="00B62CFD">
      <w:r>
        <w:t>Since June 2017 – June 2021</w:t>
      </w:r>
    </w:p>
    <w:p w:rsidR="00B62CFD" w:rsidRDefault="00B62CFD"/>
    <w:p w:rsidR="00B62CFD" w:rsidRDefault="00B62CFD">
      <w:bookmarkStart w:id="0" w:name="_GoBack"/>
      <w:r>
        <w:t>~85-90% private civil (vs. US)</w:t>
      </w:r>
    </w:p>
    <w:p w:rsidR="00B62CFD" w:rsidRDefault="00B62CFD" w:rsidP="00B62CFD">
      <w:pPr>
        <w:pStyle w:val="ListParagraph"/>
        <w:numPr>
          <w:ilvl w:val="0"/>
          <w:numId w:val="26"/>
        </w:numPr>
      </w:pPr>
      <w:r>
        <w:t>~30% prisoner petitions</w:t>
      </w:r>
    </w:p>
    <w:p w:rsidR="00B62CFD" w:rsidRDefault="00B62CFD" w:rsidP="00B62CFD">
      <w:pPr>
        <w:pStyle w:val="ListParagraph"/>
        <w:numPr>
          <w:ilvl w:val="0"/>
          <w:numId w:val="26"/>
        </w:numPr>
      </w:pPr>
      <w:r>
        <w:t>15-20% IP</w:t>
      </w:r>
    </w:p>
    <w:p w:rsidR="00B62CFD" w:rsidRDefault="00B62CFD" w:rsidP="00B62CFD">
      <w:pPr>
        <w:pStyle w:val="ListParagraph"/>
        <w:numPr>
          <w:ilvl w:val="0"/>
          <w:numId w:val="26"/>
        </w:numPr>
      </w:pPr>
      <w:r>
        <w:t>~10% contract</w:t>
      </w:r>
    </w:p>
    <w:p w:rsidR="00B62CFD" w:rsidRDefault="00B62CFD" w:rsidP="00B62CFD">
      <w:pPr>
        <w:pStyle w:val="ListParagraph"/>
        <w:numPr>
          <w:ilvl w:val="0"/>
          <w:numId w:val="26"/>
        </w:numPr>
      </w:pPr>
      <w:r>
        <w:t>~8-10% personal injury</w:t>
      </w:r>
    </w:p>
    <w:p w:rsidR="00B62CFD" w:rsidRDefault="00B62CFD" w:rsidP="00B62CFD">
      <w:pPr>
        <w:pStyle w:val="ListParagraph"/>
        <w:numPr>
          <w:ilvl w:val="0"/>
          <w:numId w:val="26"/>
        </w:numPr>
      </w:pPr>
      <w:r>
        <w:t>~6-8% civil rights</w:t>
      </w:r>
    </w:p>
    <w:p w:rsidR="00B62CFD" w:rsidRDefault="00B62CFD" w:rsidP="00B62CFD">
      <w:pPr>
        <w:pStyle w:val="ListParagraph"/>
        <w:numPr>
          <w:ilvl w:val="0"/>
          <w:numId w:val="26"/>
        </w:numPr>
      </w:pPr>
      <w:r>
        <w:t>Others: real property</w:t>
      </w:r>
    </w:p>
    <w:p w:rsidR="00B62CFD" w:rsidRDefault="00B62CFD" w:rsidP="00B62CFD"/>
    <w:p w:rsidR="00B62CFD" w:rsidRDefault="00B62CFD" w:rsidP="00B62CFD">
      <w:r>
        <w:t>~10-15% US Civil</w:t>
      </w:r>
    </w:p>
    <w:p w:rsidR="00B62CFD" w:rsidRDefault="00B62CFD" w:rsidP="00B62CFD">
      <w:pPr>
        <w:pStyle w:val="ListParagraph"/>
        <w:numPr>
          <w:ilvl w:val="0"/>
          <w:numId w:val="26"/>
        </w:numPr>
      </w:pPr>
      <w:r>
        <w:t>~45-50% prisoner petitions</w:t>
      </w:r>
    </w:p>
    <w:p w:rsidR="00B62CFD" w:rsidRDefault="00B62CFD" w:rsidP="00B62CFD">
      <w:pPr>
        <w:pStyle w:val="ListParagraph"/>
        <w:numPr>
          <w:ilvl w:val="0"/>
          <w:numId w:val="26"/>
        </w:numPr>
      </w:pPr>
      <w:r>
        <w:t>~35% social security</w:t>
      </w:r>
    </w:p>
    <w:p w:rsidR="00B62CFD" w:rsidRPr="00B62CFD" w:rsidRDefault="00B62CFD" w:rsidP="00B62CFD">
      <w:pPr>
        <w:pStyle w:val="ListParagraph"/>
        <w:numPr>
          <w:ilvl w:val="0"/>
          <w:numId w:val="26"/>
        </w:numPr>
      </w:pPr>
      <w:r>
        <w:t>Others: torts, forfeitures &amp; penalties</w:t>
      </w:r>
    </w:p>
    <w:bookmarkEnd w:id="0"/>
    <w:p w:rsidR="008B5632" w:rsidRDefault="008B5632" w:rsidP="008B5632"/>
    <w:p w:rsidR="008B5632" w:rsidRPr="00DF3C67" w:rsidRDefault="008B5632" w:rsidP="008B5632">
      <w:pPr>
        <w:rPr>
          <w:b/>
          <w:i/>
        </w:rPr>
      </w:pPr>
      <w:r w:rsidRPr="00DF3C67">
        <w:rPr>
          <w:b/>
          <w:i/>
        </w:rPr>
        <w:t>Class actions</w:t>
      </w:r>
      <w:r w:rsidR="00F868F2">
        <w:rPr>
          <w:b/>
          <w:i/>
        </w:rPr>
        <w:t xml:space="preserve"> – Judge Payne, Travis DeArman</w:t>
      </w:r>
      <w:r w:rsidR="00925B97">
        <w:rPr>
          <w:b/>
          <w:i/>
        </w:rPr>
        <w:t xml:space="preserve">, </w:t>
      </w:r>
      <w:r w:rsidR="00925B97" w:rsidRPr="00B62CFD">
        <w:rPr>
          <w:b/>
          <w:i/>
        </w:rPr>
        <w:t>Judge Kendall</w:t>
      </w:r>
      <w:r w:rsidR="00EC4199">
        <w:rPr>
          <w:b/>
          <w:i/>
        </w:rPr>
        <w:t xml:space="preserve"> – 8 minutes</w:t>
      </w:r>
    </w:p>
    <w:p w:rsidR="008B5632" w:rsidRDefault="008B5632" w:rsidP="008B5632">
      <w:pPr>
        <w:pStyle w:val="ListParagraph"/>
        <w:numPr>
          <w:ilvl w:val="0"/>
          <w:numId w:val="24"/>
        </w:numPr>
      </w:pPr>
      <w:r>
        <w:t>Pre-class certification discovery</w:t>
      </w:r>
      <w:r w:rsidR="00925B97">
        <w:t xml:space="preserve"> and timing of certification</w:t>
      </w:r>
      <w:r w:rsidR="00EC4199">
        <w:t xml:space="preserve"> (4 minutes)</w:t>
      </w:r>
    </w:p>
    <w:p w:rsidR="008B5632" w:rsidRDefault="00925B97" w:rsidP="008B5632">
      <w:pPr>
        <w:pStyle w:val="ListParagraph"/>
        <w:numPr>
          <w:ilvl w:val="1"/>
          <w:numId w:val="24"/>
        </w:numPr>
      </w:pPr>
      <w:r>
        <w:t>Different a</w:t>
      </w:r>
      <w:r w:rsidR="008B5632">
        <w:t>p</w:t>
      </w:r>
      <w:r w:rsidR="00064FA9">
        <w:t>p</w:t>
      </w:r>
      <w:r>
        <w:t xml:space="preserve">roaches – later certification and more early discovery vs. </w:t>
      </w:r>
      <w:r w:rsidR="00EC4199">
        <w:t>early certification / less early discovery</w:t>
      </w:r>
    </w:p>
    <w:p w:rsidR="00EC4199" w:rsidRDefault="00EC4199" w:rsidP="008B5632">
      <w:pPr>
        <w:pStyle w:val="ListParagraph"/>
        <w:numPr>
          <w:ilvl w:val="1"/>
          <w:numId w:val="24"/>
        </w:numPr>
      </w:pPr>
      <w:r>
        <w:t>Pros and cons</w:t>
      </w:r>
    </w:p>
    <w:p w:rsidR="00473F38" w:rsidRDefault="00473F38" w:rsidP="00473F38">
      <w:pPr>
        <w:pStyle w:val="ListParagraph"/>
        <w:numPr>
          <w:ilvl w:val="0"/>
          <w:numId w:val="24"/>
        </w:numPr>
      </w:pPr>
      <w:r>
        <w:t>Class settlements</w:t>
      </w:r>
      <w:r w:rsidR="00203A61">
        <w:t xml:space="preserve"> – different than most civil actions – must be approved</w:t>
      </w:r>
      <w:r w:rsidR="00EC4199">
        <w:t xml:space="preserve"> (4 minutes)</w:t>
      </w:r>
    </w:p>
    <w:p w:rsidR="00473F38" w:rsidRDefault="00473F38" w:rsidP="00473F38">
      <w:pPr>
        <w:pStyle w:val="ListParagraph"/>
        <w:numPr>
          <w:ilvl w:val="1"/>
          <w:numId w:val="24"/>
        </w:numPr>
      </w:pPr>
      <w:r>
        <w:t>Considerations and impediments</w:t>
      </w:r>
      <w:r w:rsidR="00DF3C67">
        <w:t xml:space="preserve"> for approval</w:t>
      </w:r>
    </w:p>
    <w:p w:rsidR="007B0984" w:rsidRDefault="00DF3C67" w:rsidP="007B0984">
      <w:pPr>
        <w:pStyle w:val="ListParagraph"/>
        <w:numPr>
          <w:ilvl w:val="1"/>
          <w:numId w:val="24"/>
        </w:numPr>
      </w:pPr>
      <w:r>
        <w:t xml:space="preserve">Defendants’ attempts to settle (including intimidation and other unsavory tactics to </w:t>
      </w:r>
      <w:proofErr w:type="spellStart"/>
      <w:r>
        <w:t>watchout</w:t>
      </w:r>
      <w:proofErr w:type="spellEnd"/>
      <w:r>
        <w:t xml:space="preserve"> for)</w:t>
      </w:r>
      <w:r w:rsidR="00F868F2">
        <w:t xml:space="preserve"> – 1st amendment rights of communications with individual</w:t>
      </w:r>
      <w:r w:rsidR="00925B97">
        <w:t>s</w:t>
      </w:r>
    </w:p>
    <w:p w:rsidR="000522DB" w:rsidRDefault="000522DB" w:rsidP="000522DB"/>
    <w:p w:rsidR="000522DB" w:rsidRPr="00DF3C67" w:rsidRDefault="000522DB" w:rsidP="000522DB">
      <w:pPr>
        <w:rPr>
          <w:b/>
          <w:i/>
        </w:rPr>
      </w:pPr>
      <w:proofErr w:type="spellStart"/>
      <w:r w:rsidRPr="00DF3C67">
        <w:rPr>
          <w:b/>
          <w:i/>
        </w:rPr>
        <w:t>FCA</w:t>
      </w:r>
      <w:proofErr w:type="spellEnd"/>
      <w:r w:rsidRPr="00DF3C67">
        <w:rPr>
          <w:b/>
          <w:i/>
        </w:rPr>
        <w:t>/Qui Tam</w:t>
      </w:r>
      <w:r>
        <w:rPr>
          <w:b/>
          <w:i/>
        </w:rPr>
        <w:t xml:space="preserve"> – Brett Johnson, Judge </w:t>
      </w:r>
      <w:proofErr w:type="spellStart"/>
      <w:r>
        <w:rPr>
          <w:b/>
          <w:i/>
        </w:rPr>
        <w:t>Mazzant</w:t>
      </w:r>
      <w:proofErr w:type="spellEnd"/>
      <w:r>
        <w:rPr>
          <w:b/>
          <w:i/>
        </w:rPr>
        <w:t xml:space="preserve"> – </w:t>
      </w:r>
      <w:r w:rsidR="00EC4199">
        <w:rPr>
          <w:b/>
          <w:i/>
        </w:rPr>
        <w:t>8</w:t>
      </w:r>
      <w:r>
        <w:rPr>
          <w:b/>
          <w:i/>
        </w:rPr>
        <w:t xml:space="preserve"> minutes</w:t>
      </w:r>
    </w:p>
    <w:p w:rsidR="000522DB" w:rsidRDefault="000522DB" w:rsidP="000522DB">
      <w:pPr>
        <w:pStyle w:val="ListParagraph"/>
        <w:numPr>
          <w:ilvl w:val="0"/>
          <w:numId w:val="24"/>
        </w:numPr>
      </w:pPr>
      <w:r>
        <w:t>What should a party do with the government in a declined case?</w:t>
      </w:r>
      <w:r w:rsidR="00EC4199">
        <w:t xml:space="preserve"> (3 minutes)</w:t>
      </w:r>
    </w:p>
    <w:p w:rsidR="000522DB" w:rsidRDefault="000522DB" w:rsidP="000522DB">
      <w:pPr>
        <w:pStyle w:val="ListParagraph"/>
        <w:numPr>
          <w:ilvl w:val="1"/>
          <w:numId w:val="24"/>
        </w:numPr>
      </w:pPr>
      <w:r>
        <w:t xml:space="preserve">Plaintiff – </w:t>
      </w:r>
    </w:p>
    <w:p w:rsidR="000522DB" w:rsidRDefault="000522DB" w:rsidP="000522DB">
      <w:pPr>
        <w:pStyle w:val="ListParagraph"/>
        <w:numPr>
          <w:ilvl w:val="1"/>
          <w:numId w:val="24"/>
        </w:numPr>
      </w:pPr>
      <w:r>
        <w:t xml:space="preserve">Defendant – Leave </w:t>
      </w:r>
      <w:proofErr w:type="spellStart"/>
      <w:r>
        <w:t>govt</w:t>
      </w:r>
      <w:proofErr w:type="spellEnd"/>
      <w:r>
        <w:t xml:space="preserve"> alone and be glad they declined?  Engage with government since it’s their case and they have to approve settlement?</w:t>
      </w:r>
    </w:p>
    <w:p w:rsidR="000522DB" w:rsidRDefault="000522DB" w:rsidP="000522DB">
      <w:pPr>
        <w:pStyle w:val="ListParagraph"/>
        <w:numPr>
          <w:ilvl w:val="1"/>
          <w:numId w:val="24"/>
        </w:numPr>
      </w:pPr>
      <w:proofErr w:type="spellStart"/>
      <w:r>
        <w:t>Govt</w:t>
      </w:r>
      <w:proofErr w:type="spellEnd"/>
      <w:r>
        <w:t xml:space="preserve"> can bring pressure on </w:t>
      </w:r>
      <w:proofErr w:type="spellStart"/>
      <w:r>
        <w:t>AUSA</w:t>
      </w:r>
      <w:proofErr w:type="spellEnd"/>
      <w:r>
        <w:t xml:space="preserve"> to settle at amount lower than Relator’s view of case, so value for both Relator and Defendant to stay in communication</w:t>
      </w:r>
    </w:p>
    <w:p w:rsidR="000522DB" w:rsidRDefault="000522DB" w:rsidP="000522DB">
      <w:pPr>
        <w:pStyle w:val="ListParagraph"/>
        <w:numPr>
          <w:ilvl w:val="0"/>
          <w:numId w:val="24"/>
        </w:numPr>
      </w:pPr>
      <w:r>
        <w:t>Why are these cases so dangerous?</w:t>
      </w:r>
      <w:r w:rsidR="00EC4199">
        <w:t xml:space="preserve"> (2 minutes)</w:t>
      </w:r>
    </w:p>
    <w:p w:rsidR="000522DB" w:rsidRDefault="000522DB" w:rsidP="000522DB">
      <w:pPr>
        <w:pStyle w:val="ListParagraph"/>
        <w:numPr>
          <w:ilvl w:val="1"/>
          <w:numId w:val="24"/>
        </w:numPr>
      </w:pPr>
      <w:r>
        <w:t>Damages models—takes away on defense side the value of a compromise verdict because automatic trebling, fees, costs.  Defendant almost has to win it clean or end up with sizeable judgment.</w:t>
      </w:r>
    </w:p>
    <w:p w:rsidR="000522DB" w:rsidRDefault="000522DB" w:rsidP="000522DB">
      <w:pPr>
        <w:pStyle w:val="ListParagraph"/>
        <w:numPr>
          <w:ilvl w:val="0"/>
          <w:numId w:val="24"/>
        </w:numPr>
      </w:pPr>
      <w:r>
        <w:t>Settlement requirements</w:t>
      </w:r>
      <w:r w:rsidR="00EC4199">
        <w:t xml:space="preserve"> (3 minutes)</w:t>
      </w:r>
    </w:p>
    <w:p w:rsidR="000522DB" w:rsidRDefault="000522DB" w:rsidP="000522DB"/>
    <w:p w:rsidR="002B148B" w:rsidRPr="00DF3C67" w:rsidRDefault="002B148B" w:rsidP="002B148B">
      <w:pPr>
        <w:rPr>
          <w:b/>
          <w:i/>
        </w:rPr>
      </w:pPr>
      <w:r w:rsidRPr="00DF3C67">
        <w:rPr>
          <w:b/>
          <w:i/>
        </w:rPr>
        <w:t>FRAND – breach of contract, not patent</w:t>
      </w:r>
      <w:r>
        <w:rPr>
          <w:b/>
          <w:i/>
        </w:rPr>
        <w:t xml:space="preserve"> – Ted Stevenson, Judge Payne, Leon Carter (state court removal, patent mentioned) –</w:t>
      </w:r>
      <w:r w:rsidR="00EC4199">
        <w:rPr>
          <w:b/>
          <w:i/>
        </w:rPr>
        <w:t xml:space="preserve"> 7</w:t>
      </w:r>
      <w:r>
        <w:rPr>
          <w:b/>
          <w:i/>
        </w:rPr>
        <w:t xml:space="preserve"> minutes</w:t>
      </w:r>
    </w:p>
    <w:p w:rsidR="002B148B" w:rsidRDefault="002B148B" w:rsidP="002B148B">
      <w:pPr>
        <w:pStyle w:val="ListParagraph"/>
        <w:numPr>
          <w:ilvl w:val="0"/>
          <w:numId w:val="24"/>
        </w:numPr>
      </w:pPr>
      <w:r>
        <w:t>Reminder that they’re contract cases, not patent cases</w:t>
      </w:r>
    </w:p>
    <w:p w:rsidR="002B148B" w:rsidRDefault="002B148B" w:rsidP="002B148B">
      <w:pPr>
        <w:pStyle w:val="ListParagraph"/>
        <w:numPr>
          <w:ilvl w:val="0"/>
          <w:numId w:val="24"/>
        </w:numPr>
      </w:pPr>
      <w:r>
        <w:t>HTC v. Ericsson – Recent EDTX case appealed to 5th Circuit, affirmed no jury instruction on patent concepts</w:t>
      </w:r>
    </w:p>
    <w:p w:rsidR="002B148B" w:rsidRDefault="002B148B" w:rsidP="002B148B">
      <w:pPr>
        <w:pStyle w:val="ListParagraph"/>
        <w:numPr>
          <w:ilvl w:val="0"/>
          <w:numId w:val="24"/>
        </w:numPr>
      </w:pPr>
      <w:r>
        <w:lastRenderedPageBreak/>
        <w:t>Other examples:</w:t>
      </w:r>
    </w:p>
    <w:p w:rsidR="002B148B" w:rsidRDefault="002B148B" w:rsidP="002B148B">
      <w:pPr>
        <w:pStyle w:val="ListParagraph"/>
        <w:numPr>
          <w:ilvl w:val="1"/>
          <w:numId w:val="24"/>
        </w:numPr>
      </w:pPr>
      <w:r>
        <w:t>Samsung/Ericsson</w:t>
      </w:r>
    </w:p>
    <w:p w:rsidR="002B148B" w:rsidRDefault="002B148B" w:rsidP="002B148B">
      <w:pPr>
        <w:pStyle w:val="ListParagraph"/>
        <w:numPr>
          <w:ilvl w:val="1"/>
          <w:numId w:val="24"/>
        </w:numPr>
      </w:pPr>
      <w:r>
        <w:t>Ericsson/Apple</w:t>
      </w:r>
    </w:p>
    <w:p w:rsidR="002B148B" w:rsidRDefault="002B148B" w:rsidP="002B148B">
      <w:pPr>
        <w:pStyle w:val="ListParagraph"/>
        <w:numPr>
          <w:ilvl w:val="1"/>
          <w:numId w:val="24"/>
        </w:numPr>
      </w:pPr>
      <w:r>
        <w:t>Samsung/Apple</w:t>
      </w:r>
    </w:p>
    <w:p w:rsidR="002B148B" w:rsidRDefault="002B148B" w:rsidP="002B148B">
      <w:pPr>
        <w:pStyle w:val="ListParagraph"/>
        <w:numPr>
          <w:ilvl w:val="0"/>
          <w:numId w:val="24"/>
        </w:numPr>
      </w:pPr>
      <w:r>
        <w:t>Impact on license negotiations</w:t>
      </w:r>
    </w:p>
    <w:p w:rsidR="002B148B" w:rsidRDefault="002B148B" w:rsidP="002B148B">
      <w:pPr>
        <w:pStyle w:val="ListParagraph"/>
        <w:numPr>
          <w:ilvl w:val="0"/>
          <w:numId w:val="24"/>
        </w:numPr>
      </w:pPr>
      <w:r>
        <w:t>Prediction – more cases like these in the future</w:t>
      </w:r>
    </w:p>
    <w:p w:rsidR="002B148B" w:rsidRDefault="002B148B" w:rsidP="002B148B">
      <w:pPr>
        <w:pStyle w:val="ListParagraph"/>
        <w:numPr>
          <w:ilvl w:val="0"/>
          <w:numId w:val="24"/>
        </w:numPr>
      </w:pPr>
      <w:r>
        <w:t>5th Circuit said: Contract action.  Concepts of damages in patent infringement aren’t applicable.</w:t>
      </w:r>
    </w:p>
    <w:p w:rsidR="002B148B" w:rsidRDefault="002B148B" w:rsidP="002B148B"/>
    <w:p w:rsidR="00064FA9" w:rsidRPr="00DF3C67" w:rsidRDefault="008B5632" w:rsidP="008B5632">
      <w:pPr>
        <w:rPr>
          <w:b/>
          <w:i/>
        </w:rPr>
      </w:pPr>
      <w:r w:rsidRPr="00DF3C67">
        <w:rPr>
          <w:b/>
          <w:i/>
        </w:rPr>
        <w:t>Non-patent IP Cases</w:t>
      </w:r>
      <w:r w:rsidR="00EC4199">
        <w:rPr>
          <w:b/>
          <w:i/>
        </w:rPr>
        <w:t xml:space="preserve"> – 1</w:t>
      </w:r>
      <w:r w:rsidR="00D74C4C">
        <w:rPr>
          <w:b/>
          <w:i/>
        </w:rPr>
        <w:t>1</w:t>
      </w:r>
      <w:r w:rsidR="00EC4199">
        <w:rPr>
          <w:b/>
          <w:i/>
        </w:rPr>
        <w:t xml:space="preserve"> minutes</w:t>
      </w:r>
    </w:p>
    <w:p w:rsidR="00ED0CE0" w:rsidRDefault="00ED0CE0" w:rsidP="00ED0CE0">
      <w:pPr>
        <w:pStyle w:val="ListParagraph"/>
        <w:numPr>
          <w:ilvl w:val="0"/>
          <w:numId w:val="24"/>
        </w:numPr>
      </w:pPr>
      <w:r>
        <w:t xml:space="preserve">NDA considerations </w:t>
      </w:r>
      <w:r w:rsidR="00D74C4C">
        <w:t xml:space="preserve">and related causes of action </w:t>
      </w:r>
      <w:r>
        <w:t>– Travis DeArman</w:t>
      </w:r>
      <w:r w:rsidR="00EC4199">
        <w:t xml:space="preserve"> (3 minutes)</w:t>
      </w:r>
    </w:p>
    <w:p w:rsidR="00ED0CE0" w:rsidRDefault="00D74C4C" w:rsidP="00ED0CE0">
      <w:pPr>
        <w:pStyle w:val="ListParagraph"/>
        <w:numPr>
          <w:ilvl w:val="1"/>
          <w:numId w:val="24"/>
        </w:numPr>
      </w:pPr>
      <w:r>
        <w:t>Examples of information that is confidential when disclosed, but wouldn’t qualify as a trade secret, e.g., provisional patent applications</w:t>
      </w:r>
    </w:p>
    <w:p w:rsidR="00D74C4C" w:rsidRDefault="00D74C4C" w:rsidP="00D74C4C">
      <w:pPr>
        <w:pStyle w:val="ListParagraph"/>
        <w:numPr>
          <w:ilvl w:val="1"/>
          <w:numId w:val="24"/>
        </w:numPr>
      </w:pPr>
      <w:r>
        <w:t>Non-trade secret causes of action that arise out of NDAs, depending on information protected by NDA—overlap with patents, breach of contract, and the potential that what once was confidential is no longer subject to NDA obligations</w:t>
      </w:r>
    </w:p>
    <w:p w:rsidR="008B5632" w:rsidRDefault="00064FA9" w:rsidP="00064FA9">
      <w:pPr>
        <w:pStyle w:val="ListParagraph"/>
        <w:numPr>
          <w:ilvl w:val="0"/>
          <w:numId w:val="24"/>
        </w:numPr>
      </w:pPr>
      <w:r>
        <w:t>T</w:t>
      </w:r>
      <w:r w:rsidR="00D74C4C">
        <w:t>rade secret litigation</w:t>
      </w:r>
      <w:r w:rsidR="007B0984">
        <w:t xml:space="preserve"> – Brett Johnson</w:t>
      </w:r>
      <w:r w:rsidR="00ED0CE0">
        <w:t xml:space="preserve">, Judge </w:t>
      </w:r>
      <w:proofErr w:type="spellStart"/>
      <w:r w:rsidR="00ED0CE0">
        <w:t>Mazzant</w:t>
      </w:r>
      <w:proofErr w:type="spellEnd"/>
      <w:r w:rsidR="00EC4199">
        <w:t xml:space="preserve"> (4 minutes)</w:t>
      </w:r>
    </w:p>
    <w:p w:rsidR="008B5632" w:rsidRDefault="008B5632" w:rsidP="00064FA9">
      <w:pPr>
        <w:pStyle w:val="ListParagraph"/>
        <w:numPr>
          <w:ilvl w:val="1"/>
          <w:numId w:val="24"/>
        </w:numPr>
      </w:pPr>
      <w:r>
        <w:t>Early trade secret identification</w:t>
      </w:r>
    </w:p>
    <w:p w:rsidR="008B5632" w:rsidRDefault="008B5632" w:rsidP="00064FA9">
      <w:pPr>
        <w:pStyle w:val="ListParagraph"/>
        <w:numPr>
          <w:ilvl w:val="2"/>
          <w:numId w:val="24"/>
        </w:numPr>
      </w:pPr>
      <w:r>
        <w:t>Pros and cons</w:t>
      </w:r>
    </w:p>
    <w:p w:rsidR="008B5632" w:rsidRDefault="008B5632" w:rsidP="00064FA9">
      <w:pPr>
        <w:pStyle w:val="ListParagraph"/>
        <w:numPr>
          <w:ilvl w:val="2"/>
          <w:numId w:val="24"/>
        </w:numPr>
      </w:pPr>
      <w:r>
        <w:t>Trends in EDTX</w:t>
      </w:r>
    </w:p>
    <w:p w:rsidR="008B5632" w:rsidRDefault="00EC4199" w:rsidP="008B5632">
      <w:pPr>
        <w:pStyle w:val="ListParagraph"/>
        <w:numPr>
          <w:ilvl w:val="0"/>
          <w:numId w:val="24"/>
        </w:numPr>
      </w:pPr>
      <w:r>
        <w:t xml:space="preserve">Recent developments in </w:t>
      </w:r>
      <w:r w:rsidR="00064FA9">
        <w:t>Trademarks</w:t>
      </w:r>
      <w:r w:rsidR="007B0984">
        <w:t xml:space="preserve"> – Leon Carter</w:t>
      </w:r>
      <w:r w:rsidR="002B148B">
        <w:t xml:space="preserve"> </w:t>
      </w:r>
      <w:r>
        <w:t>(</w:t>
      </w:r>
      <w:r w:rsidR="00D74C4C">
        <w:t>4</w:t>
      </w:r>
      <w:r w:rsidR="002B148B">
        <w:t xml:space="preserve"> minutes</w:t>
      </w:r>
      <w:r>
        <w:t>)</w:t>
      </w:r>
    </w:p>
    <w:p w:rsidR="00064FA9" w:rsidRDefault="00064FA9" w:rsidP="00064FA9">
      <w:pPr>
        <w:pStyle w:val="ListParagraph"/>
        <w:numPr>
          <w:ilvl w:val="1"/>
          <w:numId w:val="24"/>
        </w:numPr>
      </w:pPr>
      <w:r>
        <w:t>New SCOTUS case re “innocent” trademark infringement damages</w:t>
      </w:r>
    </w:p>
    <w:p w:rsidR="00064FA9" w:rsidRDefault="00DF3C67" w:rsidP="00064FA9">
      <w:pPr>
        <w:pStyle w:val="ListParagraph"/>
        <w:numPr>
          <w:ilvl w:val="1"/>
          <w:numId w:val="24"/>
        </w:numPr>
      </w:pPr>
      <w:r>
        <w:t>(other recent SCOTUS cases in past 2 years re trademarks)</w:t>
      </w:r>
    </w:p>
    <w:p w:rsidR="008B5632" w:rsidRDefault="008B5632" w:rsidP="008B5632"/>
    <w:p w:rsidR="007B0984" w:rsidRDefault="00ED0CE0" w:rsidP="007B0984">
      <w:pPr>
        <w:rPr>
          <w:b/>
          <w:i/>
        </w:rPr>
      </w:pPr>
      <w:r>
        <w:rPr>
          <w:b/>
          <w:i/>
        </w:rPr>
        <w:t>1</w:t>
      </w:r>
      <w:r w:rsidR="00473F38" w:rsidRPr="00DF3C67">
        <w:rPr>
          <w:b/>
          <w:i/>
        </w:rPr>
        <w:t>983 Civil Rights Cases</w:t>
      </w:r>
      <w:r w:rsidR="007B0984">
        <w:rPr>
          <w:b/>
          <w:i/>
        </w:rPr>
        <w:t xml:space="preserve"> – Leon Carter</w:t>
      </w:r>
      <w:r>
        <w:rPr>
          <w:b/>
          <w:i/>
        </w:rPr>
        <w:t xml:space="preserve">, </w:t>
      </w:r>
      <w:r w:rsidR="003C79F9">
        <w:rPr>
          <w:b/>
          <w:i/>
        </w:rPr>
        <w:t xml:space="preserve">Judge </w:t>
      </w:r>
      <w:r>
        <w:rPr>
          <w:b/>
          <w:i/>
        </w:rPr>
        <w:t>Kendall</w:t>
      </w:r>
      <w:r w:rsidR="00D74C4C">
        <w:rPr>
          <w:b/>
          <w:i/>
        </w:rPr>
        <w:t xml:space="preserve"> – 3 minutes</w:t>
      </w:r>
    </w:p>
    <w:p w:rsidR="00925B97" w:rsidRPr="00925B97" w:rsidRDefault="00925B97" w:rsidP="007B0984">
      <w:pPr>
        <w:pStyle w:val="ListParagraph"/>
        <w:numPr>
          <w:ilvl w:val="0"/>
          <w:numId w:val="24"/>
        </w:numPr>
        <w:rPr>
          <w:b/>
          <w:i/>
        </w:rPr>
      </w:pPr>
      <w:r>
        <w:rPr>
          <w:b/>
          <w:i/>
        </w:rPr>
        <w:t>Many IP lawyers wanting to get trial experience.  This is a way to do that.</w:t>
      </w:r>
    </w:p>
    <w:p w:rsidR="007B0984" w:rsidRPr="007B0984" w:rsidRDefault="007B0984" w:rsidP="00D74C4C">
      <w:pPr>
        <w:pStyle w:val="ListParagraph"/>
        <w:numPr>
          <w:ilvl w:val="1"/>
          <w:numId w:val="24"/>
        </w:numPr>
        <w:rPr>
          <w:b/>
          <w:i/>
        </w:rPr>
      </w:pPr>
      <w:proofErr w:type="spellStart"/>
      <w:r>
        <w:t>NDIL</w:t>
      </w:r>
      <w:proofErr w:type="spellEnd"/>
      <w:r>
        <w:t xml:space="preserve"> </w:t>
      </w:r>
      <w:r w:rsidR="00D74C4C">
        <w:t xml:space="preserve">program – </w:t>
      </w:r>
      <w:r>
        <w:t>lawyers required t</w:t>
      </w:r>
      <w:r w:rsidR="002B148B">
        <w:t>o take appointment every 2 years</w:t>
      </w:r>
    </w:p>
    <w:sectPr w:rsidR="007B0984" w:rsidRPr="007B0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0F88"/>
    <w:multiLevelType w:val="hybridMultilevel"/>
    <w:tmpl w:val="FCAA9194"/>
    <w:lvl w:ilvl="0" w:tplc="74F67982">
      <w:start w:val="1"/>
      <w:numFmt w:val="decimal"/>
      <w:pStyle w:val="Heading3"/>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B9B451D"/>
    <w:multiLevelType w:val="multilevel"/>
    <w:tmpl w:val="4FEC84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06442C"/>
    <w:multiLevelType w:val="multilevel"/>
    <w:tmpl w:val="2B1EA2BE"/>
    <w:lvl w:ilvl="0">
      <w:start w:val="1"/>
      <w:numFmt w:val="upperRoman"/>
      <w:lvlText w:val="%1."/>
      <w:lvlJc w:val="righ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D345F3"/>
    <w:multiLevelType w:val="hybridMultilevel"/>
    <w:tmpl w:val="A2620368"/>
    <w:lvl w:ilvl="0" w:tplc="9B1634F8">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535B86"/>
    <w:multiLevelType w:val="hybridMultilevel"/>
    <w:tmpl w:val="4AA62064"/>
    <w:lvl w:ilvl="0" w:tplc="0CB016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15FE2"/>
    <w:multiLevelType w:val="hybridMultilevel"/>
    <w:tmpl w:val="49C80B9E"/>
    <w:lvl w:ilvl="0" w:tplc="BB52D854">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F383F03"/>
    <w:multiLevelType w:val="hybridMultilevel"/>
    <w:tmpl w:val="3AAE7862"/>
    <w:lvl w:ilvl="0" w:tplc="39BAEE1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78B1615"/>
    <w:multiLevelType w:val="multilevel"/>
    <w:tmpl w:val="C854C0AA"/>
    <w:lvl w:ilvl="0">
      <w:start w:val="1"/>
      <w:numFmt w:val="upperRoman"/>
      <w:pStyle w:val="Heading1"/>
      <w:lvlText w:val="%1."/>
      <w:lvlJc w:val="left"/>
      <w:pPr>
        <w:ind w:left="360"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68485483"/>
    <w:multiLevelType w:val="multilevel"/>
    <w:tmpl w:val="A15CEDB8"/>
    <w:lvl w:ilvl="0">
      <w:start w:val="1"/>
      <w:numFmt w:val="upperLetter"/>
      <w:pStyle w:val="Heading2"/>
      <w:lvlText w:val="%1."/>
      <w:lvlJc w:val="left"/>
      <w:pPr>
        <w:ind w:left="108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BD35E6F"/>
    <w:multiLevelType w:val="multilevel"/>
    <w:tmpl w:val="62F00DC4"/>
    <w:lvl w:ilvl="0">
      <w:start w:val="1"/>
      <w:numFmt w:val="lowerLetter"/>
      <w:pStyle w:val="Heading4"/>
      <w:lvlText w:val="%1)"/>
      <w:lvlJc w:val="left"/>
      <w:pPr>
        <w:ind w:left="25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4F3580B"/>
    <w:multiLevelType w:val="hybridMultilevel"/>
    <w:tmpl w:val="A2B2FEF6"/>
    <w:lvl w:ilvl="0" w:tplc="7B2A8B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044FE"/>
    <w:multiLevelType w:val="hybridMultilevel"/>
    <w:tmpl w:val="13D2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64380"/>
    <w:multiLevelType w:val="hybridMultilevel"/>
    <w:tmpl w:val="91E81538"/>
    <w:lvl w:ilvl="0" w:tplc="85BCF7E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 w:numId="14">
    <w:abstractNumId w:val="8"/>
  </w:num>
  <w:num w:numId="15">
    <w:abstractNumId w:val="6"/>
  </w:num>
  <w:num w:numId="16">
    <w:abstractNumId w:val="0"/>
  </w:num>
  <w:num w:numId="17">
    <w:abstractNumId w:val="9"/>
  </w:num>
  <w:num w:numId="18">
    <w:abstractNumId w:val="0"/>
  </w:num>
  <w:num w:numId="19">
    <w:abstractNumId w:val="9"/>
  </w:num>
  <w:num w:numId="20">
    <w:abstractNumId w:val="12"/>
  </w:num>
  <w:num w:numId="21">
    <w:abstractNumId w:val="8"/>
  </w:num>
  <w:num w:numId="22">
    <w:abstractNumId w:val="7"/>
  </w:num>
  <w:num w:numId="23">
    <w:abstractNumId w:val="7"/>
  </w:num>
  <w:num w:numId="24">
    <w:abstractNumId w:val="10"/>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32"/>
    <w:rsid w:val="0003710B"/>
    <w:rsid w:val="000522DB"/>
    <w:rsid w:val="00064FA9"/>
    <w:rsid w:val="000B2AAA"/>
    <w:rsid w:val="000C1879"/>
    <w:rsid w:val="001441DB"/>
    <w:rsid w:val="0016162D"/>
    <w:rsid w:val="00203A61"/>
    <w:rsid w:val="00241776"/>
    <w:rsid w:val="00284817"/>
    <w:rsid w:val="002B148B"/>
    <w:rsid w:val="002B68AF"/>
    <w:rsid w:val="00356ED7"/>
    <w:rsid w:val="00377C45"/>
    <w:rsid w:val="00393980"/>
    <w:rsid w:val="003C79F9"/>
    <w:rsid w:val="00443588"/>
    <w:rsid w:val="004470AF"/>
    <w:rsid w:val="00461BDF"/>
    <w:rsid w:val="00473F38"/>
    <w:rsid w:val="004A7DF4"/>
    <w:rsid w:val="0053729A"/>
    <w:rsid w:val="00563D7C"/>
    <w:rsid w:val="00591B1A"/>
    <w:rsid w:val="006D4827"/>
    <w:rsid w:val="00742727"/>
    <w:rsid w:val="0077222C"/>
    <w:rsid w:val="007B0984"/>
    <w:rsid w:val="00835FD7"/>
    <w:rsid w:val="008B5632"/>
    <w:rsid w:val="00925B97"/>
    <w:rsid w:val="009458C4"/>
    <w:rsid w:val="009742EA"/>
    <w:rsid w:val="009A1AA6"/>
    <w:rsid w:val="009B3894"/>
    <w:rsid w:val="009F7C09"/>
    <w:rsid w:val="00A66FF2"/>
    <w:rsid w:val="00A707C4"/>
    <w:rsid w:val="00AD5493"/>
    <w:rsid w:val="00B62CFD"/>
    <w:rsid w:val="00B860DD"/>
    <w:rsid w:val="00BC5E30"/>
    <w:rsid w:val="00C27732"/>
    <w:rsid w:val="00D67F21"/>
    <w:rsid w:val="00D74C4C"/>
    <w:rsid w:val="00D90BD4"/>
    <w:rsid w:val="00DF3C67"/>
    <w:rsid w:val="00E304C4"/>
    <w:rsid w:val="00E44B36"/>
    <w:rsid w:val="00E523E6"/>
    <w:rsid w:val="00EC4199"/>
    <w:rsid w:val="00ED0CE0"/>
    <w:rsid w:val="00F556F1"/>
    <w:rsid w:val="00F868F2"/>
    <w:rsid w:val="00F86FCD"/>
    <w:rsid w:val="00FB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D0CFC-3900-4D0F-A946-729FC4A4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68AF"/>
    <w:pPr>
      <w:spacing w:after="0" w:line="240" w:lineRule="auto"/>
    </w:pPr>
    <w:rPr>
      <w:rFonts w:ascii="Times New Roman" w:hAnsi="Times New Roman"/>
      <w:sz w:val="24"/>
    </w:rPr>
  </w:style>
  <w:style w:type="paragraph" w:styleId="Heading1">
    <w:name w:val="heading 1"/>
    <w:basedOn w:val="BodyText"/>
    <w:next w:val="BodyText"/>
    <w:link w:val="Heading1Char"/>
    <w:uiPriority w:val="1"/>
    <w:qFormat/>
    <w:rsid w:val="009458C4"/>
    <w:pPr>
      <w:keepNext/>
      <w:keepLines/>
      <w:numPr>
        <w:numId w:val="5"/>
      </w:numPr>
      <w:autoSpaceDE w:val="0"/>
      <w:autoSpaceDN w:val="0"/>
      <w:adjustRightInd w:val="0"/>
      <w:spacing w:after="240" w:line="240" w:lineRule="auto"/>
      <w:ind w:left="720" w:hanging="720"/>
      <w:jc w:val="center"/>
      <w:outlineLvl w:val="0"/>
    </w:pPr>
    <w:rPr>
      <w:rFonts w:ascii="Times New Roman Bold" w:eastAsia="PMingLiU" w:hAnsi="Times New Roman Bold" w:cs="Arial"/>
      <w:b/>
      <w:bCs/>
      <w:caps/>
      <w:kern w:val="32"/>
    </w:rPr>
  </w:style>
  <w:style w:type="paragraph" w:styleId="Heading2">
    <w:name w:val="heading 2"/>
    <w:basedOn w:val="Heading1"/>
    <w:next w:val="BodyText"/>
    <w:link w:val="Heading2Char"/>
    <w:uiPriority w:val="9"/>
    <w:unhideWhenUsed/>
    <w:qFormat/>
    <w:rsid w:val="004A7DF4"/>
    <w:pPr>
      <w:keepLines w:val="0"/>
      <w:numPr>
        <w:numId w:val="12"/>
      </w:numPr>
      <w:ind w:left="1440" w:hanging="720"/>
      <w:jc w:val="left"/>
      <w:outlineLvl w:val="1"/>
    </w:pPr>
    <w:rPr>
      <w:rFonts w:eastAsiaTheme="majorEastAsia" w:cstheme="minorBidi"/>
      <w:caps w:val="0"/>
      <w:szCs w:val="24"/>
    </w:rPr>
  </w:style>
  <w:style w:type="paragraph" w:styleId="Heading3">
    <w:name w:val="heading 3"/>
    <w:basedOn w:val="Heading2"/>
    <w:next w:val="BodyText"/>
    <w:link w:val="Heading3Char"/>
    <w:uiPriority w:val="9"/>
    <w:unhideWhenUsed/>
    <w:qFormat/>
    <w:rsid w:val="0016162D"/>
    <w:pPr>
      <w:numPr>
        <w:numId w:val="16"/>
      </w:numPr>
      <w:outlineLvl w:val="2"/>
    </w:pPr>
  </w:style>
  <w:style w:type="paragraph" w:styleId="Heading4">
    <w:name w:val="heading 4"/>
    <w:basedOn w:val="Heading3"/>
    <w:next w:val="BodyText"/>
    <w:link w:val="Heading4Char"/>
    <w:uiPriority w:val="9"/>
    <w:semiHidden/>
    <w:unhideWhenUsed/>
    <w:qFormat/>
    <w:rsid w:val="0016162D"/>
    <w:pPr>
      <w:keepLines/>
      <w:numPr>
        <w:numId w:val="17"/>
      </w:numPr>
      <w:outlineLvl w:val="3"/>
    </w:pPr>
    <w:rPr>
      <w:rFonts w:ascii="Times New Roman" w:hAnsi="Times New Roman"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58C4"/>
    <w:rPr>
      <w:rFonts w:ascii="Times New Roman Bold" w:eastAsia="PMingLiU" w:hAnsi="Times New Roman Bold" w:cs="Arial"/>
      <w:b/>
      <w:bCs/>
      <w:caps/>
      <w:kern w:val="32"/>
      <w:sz w:val="24"/>
    </w:rPr>
  </w:style>
  <w:style w:type="paragraph" w:styleId="BodyText">
    <w:name w:val="Body Text"/>
    <w:basedOn w:val="Normal"/>
    <w:link w:val="BodyTextChar"/>
    <w:uiPriority w:val="1"/>
    <w:qFormat/>
    <w:rsid w:val="009458C4"/>
    <w:pPr>
      <w:spacing w:line="480" w:lineRule="auto"/>
      <w:ind w:firstLine="720"/>
      <w:jc w:val="both"/>
    </w:pPr>
  </w:style>
  <w:style w:type="character" w:customStyle="1" w:styleId="BodyTextChar">
    <w:name w:val="Body Text Char"/>
    <w:basedOn w:val="DefaultParagraphFont"/>
    <w:link w:val="BodyText"/>
    <w:uiPriority w:val="1"/>
    <w:rsid w:val="009458C4"/>
    <w:rPr>
      <w:rFonts w:ascii="Times New Roman" w:hAnsi="Times New Roman"/>
      <w:sz w:val="24"/>
    </w:rPr>
  </w:style>
  <w:style w:type="character" w:customStyle="1" w:styleId="Heading2Char">
    <w:name w:val="Heading 2 Char"/>
    <w:basedOn w:val="DefaultParagraphFont"/>
    <w:link w:val="Heading2"/>
    <w:uiPriority w:val="9"/>
    <w:rsid w:val="004A7DF4"/>
    <w:rPr>
      <w:rFonts w:ascii="Times New Roman Bold" w:eastAsiaTheme="majorEastAsia" w:hAnsi="Times New Roman Bold"/>
      <w:b/>
      <w:bCs/>
      <w:kern w:val="32"/>
      <w:sz w:val="24"/>
      <w:szCs w:val="24"/>
    </w:rPr>
  </w:style>
  <w:style w:type="character" w:customStyle="1" w:styleId="Heading3Char">
    <w:name w:val="Heading 3 Char"/>
    <w:basedOn w:val="DefaultParagraphFont"/>
    <w:link w:val="Heading3"/>
    <w:uiPriority w:val="9"/>
    <w:rsid w:val="0016162D"/>
    <w:rPr>
      <w:rFonts w:ascii="Times New Roman Bold" w:eastAsiaTheme="majorEastAsia" w:hAnsi="Times New Roman Bold"/>
      <w:b/>
      <w:bCs/>
      <w:kern w:val="32"/>
      <w:sz w:val="24"/>
      <w:szCs w:val="24"/>
    </w:rPr>
  </w:style>
  <w:style w:type="paragraph" w:styleId="Quote">
    <w:name w:val="Quote"/>
    <w:basedOn w:val="Normal"/>
    <w:next w:val="Normal"/>
    <w:link w:val="QuoteChar"/>
    <w:uiPriority w:val="29"/>
    <w:qFormat/>
    <w:rsid w:val="001441DB"/>
    <w:pPr>
      <w:spacing w:after="240"/>
      <w:ind w:left="720" w:right="720"/>
      <w:jc w:val="both"/>
    </w:pPr>
    <w:rPr>
      <w:iCs/>
    </w:rPr>
  </w:style>
  <w:style w:type="character" w:customStyle="1" w:styleId="QuoteChar">
    <w:name w:val="Quote Char"/>
    <w:basedOn w:val="DefaultParagraphFont"/>
    <w:link w:val="Quote"/>
    <w:uiPriority w:val="29"/>
    <w:rsid w:val="001441DB"/>
    <w:rPr>
      <w:rFonts w:ascii="Times New Roman" w:hAnsi="Times New Roman"/>
      <w:iCs/>
      <w:sz w:val="24"/>
    </w:rPr>
  </w:style>
  <w:style w:type="paragraph" w:styleId="FootnoteText">
    <w:name w:val="footnote text"/>
    <w:basedOn w:val="Normal"/>
    <w:link w:val="FootnoteTextChar"/>
    <w:uiPriority w:val="99"/>
    <w:semiHidden/>
    <w:unhideWhenUsed/>
    <w:rsid w:val="00C27732"/>
    <w:pPr>
      <w:spacing w:after="120"/>
    </w:pPr>
    <w:rPr>
      <w:rFonts w:eastAsia="PMingLiU" w:cs="Times New Roman"/>
      <w:sz w:val="20"/>
      <w:szCs w:val="20"/>
    </w:rPr>
  </w:style>
  <w:style w:type="character" w:customStyle="1" w:styleId="FootnoteTextChar">
    <w:name w:val="Footnote Text Char"/>
    <w:basedOn w:val="DefaultParagraphFont"/>
    <w:link w:val="FootnoteText"/>
    <w:uiPriority w:val="99"/>
    <w:semiHidden/>
    <w:rsid w:val="00C27732"/>
    <w:rPr>
      <w:rFonts w:ascii="Times New Roman" w:eastAsia="PMingLiU" w:hAnsi="Times New Roman" w:cs="Times New Roman"/>
      <w:sz w:val="20"/>
      <w:szCs w:val="20"/>
    </w:rPr>
  </w:style>
  <w:style w:type="paragraph" w:styleId="TOAHeading">
    <w:name w:val="toa heading"/>
    <w:basedOn w:val="Normal"/>
    <w:next w:val="Normal"/>
    <w:uiPriority w:val="99"/>
    <w:semiHidden/>
    <w:unhideWhenUsed/>
    <w:rsid w:val="00D67F21"/>
    <w:pPr>
      <w:spacing w:before="120"/>
    </w:pPr>
    <w:rPr>
      <w:rFonts w:eastAsiaTheme="majorEastAsia" w:cstheme="majorBidi"/>
      <w:b/>
      <w:bCs/>
    </w:rPr>
  </w:style>
  <w:style w:type="paragraph" w:styleId="TableofAuthorities">
    <w:name w:val="table of authorities"/>
    <w:basedOn w:val="Normal"/>
    <w:next w:val="Normal"/>
    <w:uiPriority w:val="99"/>
    <w:semiHidden/>
    <w:unhideWhenUsed/>
    <w:rsid w:val="00D67F21"/>
    <w:pPr>
      <w:spacing w:after="240"/>
      <w:ind w:left="245" w:hanging="245"/>
    </w:pPr>
  </w:style>
  <w:style w:type="paragraph" w:styleId="TOCHeading">
    <w:name w:val="TOC Heading"/>
    <w:basedOn w:val="Title"/>
    <w:next w:val="Normal"/>
    <w:uiPriority w:val="39"/>
    <w:unhideWhenUsed/>
    <w:qFormat/>
    <w:rsid w:val="0053729A"/>
    <w:pPr>
      <w:keepNext/>
      <w:contextualSpacing w:val="0"/>
    </w:pPr>
    <w:rPr>
      <w:rFonts w:ascii="Times New Roman" w:hAnsi="Times New Roman"/>
      <w:b w:val="0"/>
      <w:kern w:val="0"/>
      <w:szCs w:val="32"/>
    </w:rPr>
  </w:style>
  <w:style w:type="paragraph" w:styleId="Title">
    <w:name w:val="Title"/>
    <w:basedOn w:val="Normal"/>
    <w:next w:val="BodyText"/>
    <w:link w:val="TitleChar"/>
    <w:uiPriority w:val="10"/>
    <w:qFormat/>
    <w:rsid w:val="009742EA"/>
    <w:pPr>
      <w:spacing w:after="240"/>
      <w:contextualSpacing/>
      <w:jc w:val="center"/>
    </w:pPr>
    <w:rPr>
      <w:rFonts w:ascii="Times New Roman Bold" w:eastAsiaTheme="majorEastAsia" w:hAnsi="Times New Roman Bold" w:cstheme="majorBidi"/>
      <w:b/>
      <w:kern w:val="28"/>
      <w:szCs w:val="56"/>
      <w:u w:val="single"/>
    </w:rPr>
  </w:style>
  <w:style w:type="character" w:customStyle="1" w:styleId="TitleChar">
    <w:name w:val="Title Char"/>
    <w:basedOn w:val="DefaultParagraphFont"/>
    <w:link w:val="Title"/>
    <w:uiPriority w:val="10"/>
    <w:rsid w:val="009742EA"/>
    <w:rPr>
      <w:rFonts w:ascii="Times New Roman Bold" w:eastAsiaTheme="majorEastAsia" w:hAnsi="Times New Roman Bold" w:cstheme="majorBidi"/>
      <w:b/>
      <w:kern w:val="28"/>
      <w:sz w:val="24"/>
      <w:szCs w:val="56"/>
      <w:u w:val="single"/>
    </w:rPr>
  </w:style>
  <w:style w:type="character" w:customStyle="1" w:styleId="Heading4Char">
    <w:name w:val="Heading 4 Char"/>
    <w:basedOn w:val="DefaultParagraphFont"/>
    <w:link w:val="Heading4"/>
    <w:uiPriority w:val="9"/>
    <w:semiHidden/>
    <w:rsid w:val="0016162D"/>
    <w:rPr>
      <w:rFonts w:ascii="Times New Roman" w:eastAsiaTheme="majorEastAsia" w:hAnsi="Times New Roman" w:cstheme="majorBidi"/>
      <w:b/>
      <w:bCs/>
      <w:iCs/>
      <w:kern w:val="32"/>
      <w:sz w:val="24"/>
      <w:szCs w:val="24"/>
    </w:rPr>
  </w:style>
  <w:style w:type="paragraph" w:styleId="Subtitle">
    <w:name w:val="Subtitle"/>
    <w:basedOn w:val="Title"/>
    <w:next w:val="BodyText"/>
    <w:link w:val="SubtitleChar"/>
    <w:uiPriority w:val="11"/>
    <w:qFormat/>
    <w:rsid w:val="00377C45"/>
    <w:pPr>
      <w:keepNext/>
      <w:numPr>
        <w:ilvl w:val="1"/>
      </w:numPr>
    </w:pPr>
    <w:rPr>
      <w:rFonts w:eastAsiaTheme="minorEastAsia" w:cstheme="minorBidi"/>
      <w:szCs w:val="22"/>
    </w:rPr>
  </w:style>
  <w:style w:type="character" w:customStyle="1" w:styleId="SubtitleChar">
    <w:name w:val="Subtitle Char"/>
    <w:basedOn w:val="DefaultParagraphFont"/>
    <w:link w:val="Subtitle"/>
    <w:uiPriority w:val="11"/>
    <w:rsid w:val="00377C45"/>
    <w:rPr>
      <w:rFonts w:ascii="Times New Roman Bold" w:eastAsiaTheme="minorEastAsia" w:hAnsi="Times New Roman Bold"/>
      <w:b/>
      <w:kern w:val="28"/>
      <w:sz w:val="24"/>
      <w:u w:val="single"/>
    </w:rPr>
  </w:style>
  <w:style w:type="character" w:styleId="SubtleEmphasis">
    <w:name w:val="Subtle Emphasis"/>
    <w:basedOn w:val="DefaultParagraphFont"/>
    <w:uiPriority w:val="19"/>
    <w:rsid w:val="006D4827"/>
    <w:rPr>
      <w:i/>
      <w:iCs/>
      <w:color w:val="404040" w:themeColor="text1" w:themeTint="BF"/>
    </w:rPr>
  </w:style>
  <w:style w:type="character" w:styleId="Emphasis">
    <w:name w:val="Emphasis"/>
    <w:basedOn w:val="DefaultParagraphFont"/>
    <w:uiPriority w:val="20"/>
    <w:rsid w:val="006D4827"/>
    <w:rPr>
      <w:i/>
      <w:iCs/>
    </w:rPr>
  </w:style>
  <w:style w:type="character" w:styleId="IntenseEmphasis">
    <w:name w:val="Intense Emphasis"/>
    <w:basedOn w:val="DefaultParagraphFont"/>
    <w:uiPriority w:val="21"/>
    <w:rsid w:val="006D4827"/>
    <w:rPr>
      <w:i/>
      <w:iCs/>
      <w:color w:val="5B9BD5" w:themeColor="accent1"/>
    </w:rPr>
  </w:style>
  <w:style w:type="character" w:styleId="Strong">
    <w:name w:val="Strong"/>
    <w:basedOn w:val="DefaultParagraphFont"/>
    <w:uiPriority w:val="22"/>
    <w:rsid w:val="006D4827"/>
    <w:rPr>
      <w:b/>
      <w:bCs/>
    </w:rPr>
  </w:style>
  <w:style w:type="paragraph" w:styleId="IntenseQuote">
    <w:name w:val="Intense Quote"/>
    <w:basedOn w:val="Normal"/>
    <w:next w:val="Normal"/>
    <w:link w:val="IntenseQuoteChar"/>
    <w:uiPriority w:val="30"/>
    <w:rsid w:val="006D48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D4827"/>
    <w:rPr>
      <w:rFonts w:ascii="Times New Roman" w:hAnsi="Times New Roman"/>
      <w:i/>
      <w:iCs/>
      <w:color w:val="5B9BD5" w:themeColor="accent1"/>
      <w:sz w:val="24"/>
      <w:szCs w:val="24"/>
    </w:rPr>
  </w:style>
  <w:style w:type="character" w:styleId="SubtleReference">
    <w:name w:val="Subtle Reference"/>
    <w:basedOn w:val="DefaultParagraphFont"/>
    <w:uiPriority w:val="31"/>
    <w:rsid w:val="006D4827"/>
    <w:rPr>
      <w:smallCaps/>
      <w:color w:val="5A5A5A" w:themeColor="text1" w:themeTint="A5"/>
    </w:rPr>
  </w:style>
  <w:style w:type="character" w:styleId="IntenseReference">
    <w:name w:val="Intense Reference"/>
    <w:basedOn w:val="DefaultParagraphFont"/>
    <w:uiPriority w:val="32"/>
    <w:rsid w:val="006D4827"/>
    <w:rPr>
      <w:b/>
      <w:bCs/>
      <w:smallCaps/>
      <w:color w:val="5B9BD5" w:themeColor="accent1"/>
      <w:spacing w:val="5"/>
    </w:rPr>
  </w:style>
  <w:style w:type="character" w:styleId="BookTitle">
    <w:name w:val="Book Title"/>
    <w:basedOn w:val="DefaultParagraphFont"/>
    <w:uiPriority w:val="33"/>
    <w:rsid w:val="006D4827"/>
    <w:rPr>
      <w:b/>
      <w:bCs/>
      <w:i/>
      <w:iCs/>
      <w:spacing w:val="5"/>
    </w:rPr>
  </w:style>
  <w:style w:type="paragraph" w:styleId="NoSpacing">
    <w:name w:val="No Spacing"/>
    <w:uiPriority w:val="1"/>
    <w:qFormat/>
    <w:rsid w:val="002B68AF"/>
    <w:pPr>
      <w:spacing w:after="0" w:line="240" w:lineRule="auto"/>
    </w:pPr>
    <w:rPr>
      <w:rFonts w:ascii="Times New Roman" w:hAnsi="Times New Roman"/>
      <w:sz w:val="24"/>
    </w:rPr>
  </w:style>
  <w:style w:type="paragraph" w:styleId="ListParagraph">
    <w:name w:val="List Paragraph"/>
    <w:basedOn w:val="Normal"/>
    <w:uiPriority w:val="34"/>
    <w:qFormat/>
    <w:rsid w:val="008B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Fair</dc:creator>
  <cp:keywords/>
  <dc:description/>
  <cp:lastModifiedBy>Andrea Fair</cp:lastModifiedBy>
  <cp:revision>7</cp:revision>
  <dcterms:created xsi:type="dcterms:W3CDTF">2021-10-07T15:59:00Z</dcterms:created>
  <dcterms:modified xsi:type="dcterms:W3CDTF">2021-10-08T15:13:00Z</dcterms:modified>
</cp:coreProperties>
</file>